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SECURITIES AND EXCHANGE COMMISSION</w:t>
      </w:r>
    </w:p>
    <w:p>
      <w:pPr>
        <w:spacing w:after="0" w:line="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7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October 28, 2026</w:t>
      </w:r>
    </w:p>
    <w:p>
      <w:pPr>
        <w:spacing w:after="0" w:line="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ORIGIN BANCORP, INC.</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ectPr>
          <w:pgSz w:w="11900" w:h="16838" w:orient="portrait"/>
          <w:cols w:equalWidth="0" w:num="1">
            <w:col w:w="11200"/>
          </w:cols>
          <w:pgMar w:left="300" w:top="710" w:right="399" w:bottom="1440" w:gutter="0" w:footer="0" w:header="0"/>
        </w:sectPr>
      </w:pPr>
    </w:p>
    <w:p>
      <w:pPr>
        <w:spacing w:after="0" w:line="92"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Louisiana</w:t>
      </w:r>
    </w:p>
    <w:p>
      <w:pPr>
        <w:spacing w:after="0" w:line="28"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2"/>
          <w:szCs w:val="12"/>
          <w:b w:val="1"/>
          <w:bCs w:val="1"/>
          <w:color w:val="auto"/>
        </w:rPr>
        <w:t>001-38487</w:t>
      </w:r>
    </w:p>
    <w:p>
      <w:pPr>
        <w:spacing w:after="0" w:line="2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2"/>
          <w:szCs w:val="12"/>
          <w:color w:val="auto"/>
        </w:rPr>
        <w:t>(Commission File No.)</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2"/>
          <w:szCs w:val="12"/>
          <w:b w:val="1"/>
          <w:bCs w:val="1"/>
          <w:color w:val="auto"/>
        </w:rPr>
        <w:t>72-1192928</w:t>
      </w:r>
    </w:p>
    <w:p>
      <w:pPr>
        <w:spacing w:after="0" w:line="28"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11" w:lineRule="exact"/>
        <w:rPr>
          <w:sz w:val="24"/>
          <w:szCs w:val="24"/>
          <w:color w:val="auto"/>
        </w:rPr>
      </w:pPr>
    </w:p>
    <w:p>
      <w:pPr>
        <w:sectPr>
          <w:pgSz w:w="11900" w:h="16838" w:orient="portrait"/>
          <w:cols w:equalWidth="0" w:num="3">
            <w:col w:w="4360" w:space="720"/>
            <w:col w:w="2780" w:space="720"/>
            <w:col w:w="2620"/>
          </w:cols>
          <w:pgMar w:left="300" w:top="710" w:right="399" w:bottom="1440" w:gutter="0" w:footer="0" w:header="0"/>
          <w:type w:val="continuous"/>
        </w:sectPr>
      </w:pPr>
    </w:p>
    <w:p>
      <w:pPr>
        <w:spacing w:after="0" w:line="2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500 South Service Road East</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Ruston, Louisiana 71270</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(Address of principal executive offices including zip code)</w:t>
      </w:r>
    </w:p>
    <w:p>
      <w:pPr>
        <w:spacing w:after="0" w:line="6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(318) 255-2222</w:t>
      </w:r>
    </w:p>
    <w:p>
      <w:pPr>
        <w:spacing w:after="0" w:line="9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ectPr>
          <w:pgSz w:w="11900" w:h="16838" w:orient="portrait"/>
          <w:cols w:equalWidth="0" w:num="1">
            <w:col w:w="11200"/>
          </w:cols>
          <w:pgMar w:left="300" w:top="710" w:right="399" w:bottom="1440" w:gutter="0" w:footer="0" w:header="0"/>
          <w:type w:val="continuous"/>
        </w:sectPr>
      </w:pPr>
    </w:p>
    <w:p>
      <w:pPr>
        <w:spacing w:after="0" w:line="6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231F20"/>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280" w:hanging="207"/>
        <w:spacing w:after="0"/>
        <w:tabs>
          <w:tab w:leader="none" w:pos="28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2"/>
          <w:szCs w:val="12"/>
          <w:color w:val="231F20"/>
        </w:rPr>
        <w:t>Written communications pursuant to Rule 425 under the Securities Act (17 CFR 230.425)</w:t>
      </w:r>
    </w:p>
    <w:p>
      <w:pPr>
        <w:spacing w:after="0" w:line="78" w:lineRule="exact"/>
        <w:rPr>
          <w:rFonts w:ascii="MS PGothic" w:cs="MS PGothic" w:eastAsia="MS PGothic" w:hAnsi="MS PGothic"/>
          <w:sz w:val="11"/>
          <w:szCs w:val="11"/>
          <w:color w:val="auto"/>
        </w:rPr>
      </w:pPr>
    </w:p>
    <w:p>
      <w:pPr>
        <w:ind w:left="300" w:hanging="227"/>
        <w:spacing w:after="0"/>
        <w:tabs>
          <w:tab w:leader="none" w:pos="300" w:val="left"/>
        </w:tabs>
        <w:numPr>
          <w:ilvl w:val="0"/>
          <w:numId w:val="1"/>
        </w:numPr>
        <w:rPr>
          <w:rFonts w:ascii="MS PGothic" w:cs="MS PGothic" w:eastAsia="MS PGothic" w:hAnsi="MS PGothic"/>
          <w:sz w:val="12"/>
          <w:szCs w:val="12"/>
          <w:color w:val="231F20"/>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69" w:lineRule="exact"/>
        <w:rPr>
          <w:rFonts w:ascii="MS PGothic" w:cs="MS PGothic" w:eastAsia="MS PGothic" w:hAnsi="MS PGothic"/>
          <w:sz w:val="12"/>
          <w:szCs w:val="12"/>
          <w:color w:val="231F20"/>
        </w:rPr>
      </w:pPr>
    </w:p>
    <w:p>
      <w:pPr>
        <w:ind w:left="300" w:hanging="227"/>
        <w:spacing w:after="0"/>
        <w:tabs>
          <w:tab w:leader="none" w:pos="300" w:val="left"/>
        </w:tabs>
        <w:numPr>
          <w:ilvl w:val="0"/>
          <w:numId w:val="1"/>
        </w:numPr>
        <w:rPr>
          <w:rFonts w:ascii="MS PGothic" w:cs="MS PGothic" w:eastAsia="MS PGothic" w:hAnsi="MS PGothic"/>
          <w:sz w:val="12"/>
          <w:szCs w:val="12"/>
          <w:color w:val="231F20"/>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69" w:lineRule="exact"/>
        <w:rPr>
          <w:rFonts w:ascii="MS PGothic" w:cs="MS PGothic" w:eastAsia="MS PGothic" w:hAnsi="MS PGothic"/>
          <w:sz w:val="12"/>
          <w:szCs w:val="12"/>
          <w:color w:val="231F20"/>
        </w:rPr>
      </w:pPr>
    </w:p>
    <w:p>
      <w:pPr>
        <w:ind w:left="300" w:hanging="227"/>
        <w:spacing w:after="0"/>
        <w:tabs>
          <w:tab w:leader="none" w:pos="300" w:val="left"/>
        </w:tabs>
        <w:numPr>
          <w:ilvl w:val="0"/>
          <w:numId w:val="1"/>
        </w:numPr>
        <w:rPr>
          <w:rFonts w:ascii="MS PGothic" w:cs="MS PGothic" w:eastAsia="MS PGothic" w:hAnsi="MS PGothic"/>
          <w:sz w:val="12"/>
          <w:szCs w:val="12"/>
          <w:color w:val="231F20"/>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p>
      <w:pPr>
        <w:sectPr>
          <w:pgSz w:w="11900" w:h="16838" w:orient="portrait"/>
          <w:cols w:equalWidth="0" w:num="1">
            <w:col w:w="11200"/>
          </w:cols>
          <w:pgMar w:left="300" w:top="710" w:right="399" w:bottom="1440" w:gutter="0" w:footer="0" w:header="0"/>
          <w:type w:val="continuous"/>
        </w:sectPr>
      </w:pPr>
    </w:p>
    <w:p>
      <w:pPr>
        <w:spacing w:after="0" w:line="17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2"/>
          <w:szCs w:val="12"/>
          <w:color w:val="auto"/>
        </w:rPr>
        <w:t>Title of each class</w:t>
      </w:r>
    </w:p>
    <w:p>
      <w:pPr>
        <w:spacing w:after="0" w:line="2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1"/>
          <w:szCs w:val="11"/>
          <w:color w:val="auto"/>
        </w:rPr>
        <w:t>Common Stock, par value $5.00 per share</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2"/>
          <w:szCs w:val="12"/>
          <w:color w:val="auto"/>
        </w:rPr>
        <w:t>Trading Symbol(s)</w:t>
      </w:r>
    </w:p>
    <w:p>
      <w:pPr>
        <w:spacing w:after="0" w:line="24"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2"/>
          <w:szCs w:val="12"/>
          <w:color w:val="auto"/>
        </w:rPr>
        <w:t>OBK</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1"/>
          <w:szCs w:val="11"/>
          <w:color w:val="auto"/>
        </w:rPr>
        <w:t>Name of each exchange on which registered</w:t>
      </w:r>
    </w:p>
    <w:p>
      <w:pPr>
        <w:spacing w:after="0" w:line="3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Texas Stock Exchange</w:t>
      </w:r>
    </w:p>
    <w:p>
      <w:pPr>
        <w:spacing w:after="0" w:line="168" w:lineRule="exact"/>
        <w:rPr>
          <w:sz w:val="24"/>
          <w:szCs w:val="24"/>
          <w:color w:val="auto"/>
        </w:rPr>
      </w:pPr>
    </w:p>
    <w:p>
      <w:pPr>
        <w:sectPr>
          <w:pgSz w:w="11900" w:h="16838" w:orient="portrait"/>
          <w:cols w:equalWidth="0" w:num="3">
            <w:col w:w="4000" w:space="720"/>
            <w:col w:w="2480" w:space="720"/>
            <w:col w:w="3280"/>
          </w:cols>
          <w:pgMar w:left="300" w:top="710" w:right="399" w:bottom="1440" w:gutter="0" w:footer="0" w:header="0"/>
          <w:type w:val="continuous"/>
        </w:sectPr>
      </w:pPr>
    </w:p>
    <w:p>
      <w:pPr>
        <w:ind w:right="60"/>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241" w:lineRule="exact"/>
        <w:rPr>
          <w:sz w:val="24"/>
          <w:szCs w:val="24"/>
          <w:color w:val="auto"/>
        </w:rPr>
      </w:pPr>
    </w:p>
    <w:p>
      <w:pPr>
        <w:spacing w:after="0" w:line="145"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775970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365760</wp:posOffset>
            </wp:positionV>
            <wp:extent cx="714375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11430"/>
                    </a:xfrm>
                    <a:prstGeom prst="rect">
                      <a:avLst/>
                    </a:prstGeom>
                    <a:noFill/>
                  </pic:spPr>
                </pic:pic>
              </a:graphicData>
            </a:graphic>
          </wp:anchor>
        </w:drawing>
      </w:r>
    </w:p>
    <w:p>
      <w:pPr>
        <w:sectPr>
          <w:pgSz w:w="11900" w:h="16838" w:orient="portrait"/>
          <w:cols w:equalWidth="0" w:num="1">
            <w:col w:w="11200"/>
          </w:cols>
          <w:pgMar w:left="300" w:top="710" w:right="399" w:bottom="1440" w:gutter="0" w:footer="0" w:header="0"/>
          <w:type w:val="continuous"/>
        </w:sectPr>
      </w:pPr>
    </w:p>
    <w:bookmarkStart w:id="1" w:name="page2"/>
    <w:bookmarkEnd w:id="1"/>
    <w:p>
      <w:pPr>
        <w:spacing w:after="0"/>
        <w:tabs>
          <w:tab w:leader="none" w:pos="16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81"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On October 28, 2026, Origin Bancorp, Inc. (the "Company" or the "Registrant") issued a press release announcing its third quarter 2026 results of operations. A copy of the press release is attached hereto as Exhibit 99.1, which is incorporated herein by reference.</w:t>
      </w:r>
    </w:p>
    <w:p>
      <w:pPr>
        <w:spacing w:after="0" w:line="75"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2"/>
          <w:szCs w:val="12"/>
          <w:color w:val="auto"/>
        </w:rPr>
        <w:t>On Thursday, October 29, 2026, at 8:00 a.m. Central Time, the Company will host an investor conference call and webcast to review its third quarter 2026 financial results. The webcast will include presentation materials, which consist of information regarding the Company's results of operations and financial performance. The presentation materials will be posted on the Company's website on October 28, 2026. The presentation materials are attached hereto as Exhibit 99.2, which is incorporated herein by reference.</w:t>
      </w:r>
    </w:p>
    <w:p>
      <w:pPr>
        <w:spacing w:after="0" w:line="83" w:lineRule="exact"/>
        <w:rPr>
          <w:sz w:val="20"/>
          <w:szCs w:val="20"/>
          <w:color w:val="auto"/>
        </w:rPr>
      </w:pPr>
    </w:p>
    <w:p>
      <w:pPr>
        <w:jc w:val="both"/>
        <w:ind w:right="280" w:firstLine="432"/>
        <w:spacing w:after="0" w:line="265" w:lineRule="auto"/>
        <w:rPr>
          <w:sz w:val="20"/>
          <w:szCs w:val="20"/>
          <w:color w:val="auto"/>
        </w:rPr>
      </w:pPr>
      <w:r>
        <w:rPr>
          <w:rFonts w:ascii="Times New Roman" w:cs="Times New Roman" w:eastAsia="Times New Roman" w:hAnsi="Times New Roman"/>
          <w:sz w:val="12"/>
          <w:szCs w:val="12"/>
          <w:color w:val="auto"/>
        </w:rPr>
        <w:t>As provided in General Instructions B.2 to Form 8-K, the information furnished in Item 2.02, Exhibit 99.1 and Exhibit 99.2 of this Current Report on Form 8-K shall not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p>
      <w:pPr>
        <w:spacing w:after="0" w:line="11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72"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On October 28, 2026, the Company issued a press release announcing that the board of directors of the Company declared a quarterly cash dividend of $0.28 per share of its common stock. The cash dividend will be paid on November 30, 2026, to stockholders of record as of the close of business on November 13, 2026. The press release is attached hereto as Exhibit 99.3, and incorporated herein by reference.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95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162"/>
        </w:trPr>
        <w:tc>
          <w:tcPr>
            <w:tcW w:w="1720" w:type="dxa"/>
            <w:vAlign w:val="bottom"/>
          </w:tcPr>
          <w:p>
            <w:pPr>
              <w:spacing w:after="0"/>
              <w:rPr>
                <w:sz w:val="20"/>
                <w:szCs w:val="20"/>
                <w:color w:val="auto"/>
              </w:rPr>
            </w:pPr>
            <w:r>
              <w:rPr>
                <w:rFonts w:ascii="Times New Roman" w:cs="Times New Roman" w:eastAsia="Times New Roman" w:hAnsi="Times New Roman"/>
                <w:sz w:val="12"/>
                <w:szCs w:val="12"/>
                <w:color w:val="auto"/>
              </w:rPr>
              <w:t>(d)</w:t>
            </w:r>
          </w:p>
        </w:tc>
        <w:tc>
          <w:tcPr>
            <w:tcW w:w="95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Exhibits.</w:t>
            </w:r>
          </w:p>
        </w:tc>
      </w:tr>
      <w:tr>
        <w:trPr>
          <w:trHeight w:val="135"/>
        </w:trPr>
        <w:tc>
          <w:tcPr>
            <w:tcW w:w="17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Exhibit 99.1</w:t>
            </w:r>
          </w:p>
        </w:tc>
        <w:tc>
          <w:tcPr>
            <w:tcW w:w="3760" w:type="dxa"/>
            <w:vAlign w:val="bottom"/>
            <w:tcBorders>
              <w:bottom w:val="single" w:sz="8" w:color="0E32E1"/>
            </w:tcBorders>
            <w:gridSpan w:val="3"/>
          </w:tcPr>
          <w:p>
            <w:pPr>
              <w:spacing w:after="0" w:line="135" w:lineRule="exact"/>
              <w:rPr>
                <w:sz w:val="20"/>
                <w:szCs w:val="20"/>
                <w:color w:val="auto"/>
              </w:rPr>
            </w:pPr>
            <w:r>
              <w:rPr>
                <w:rFonts w:ascii="Times New Roman" w:cs="Times New Roman" w:eastAsia="Times New Roman" w:hAnsi="Times New Roman"/>
                <w:sz w:val="12"/>
                <w:szCs w:val="12"/>
                <w:color w:val="0E32E1"/>
                <w:w w:val="99"/>
              </w:rPr>
              <w:t>Press release, dated October 28, 2026, announcing third quarter 2026 earnings</w:t>
            </w:r>
          </w:p>
        </w:tc>
        <w:tc>
          <w:tcPr>
            <w:tcW w:w="5820" w:type="dxa"/>
            <w:vAlign w:val="bottom"/>
          </w:tcPr>
          <w:p>
            <w:pPr>
              <w:spacing w:after="0"/>
              <w:rPr>
                <w:sz w:val="11"/>
                <w:szCs w:val="11"/>
                <w:color w:val="auto"/>
              </w:rPr>
            </w:pPr>
          </w:p>
        </w:tc>
      </w:tr>
      <w:tr>
        <w:trPr>
          <w:trHeight w:val="142"/>
        </w:trPr>
        <w:tc>
          <w:tcPr>
            <w:tcW w:w="1720" w:type="dxa"/>
            <w:vAlign w:val="bottom"/>
          </w:tcPr>
          <w:p>
            <w:pPr>
              <w:spacing w:after="0"/>
              <w:rPr>
                <w:sz w:val="20"/>
                <w:szCs w:val="20"/>
                <w:color w:val="auto"/>
              </w:rPr>
            </w:pPr>
            <w:r>
              <w:rPr>
                <w:rFonts w:ascii="Times New Roman" w:cs="Times New Roman" w:eastAsia="Times New Roman" w:hAnsi="Times New Roman"/>
                <w:sz w:val="12"/>
                <w:szCs w:val="12"/>
                <w:color w:val="auto"/>
              </w:rPr>
              <w:t>Exhibit 99.2</w:t>
            </w:r>
          </w:p>
        </w:tc>
        <w:tc>
          <w:tcPr>
            <w:tcW w:w="9580" w:type="dxa"/>
            <w:vAlign w:val="bottom"/>
            <w:gridSpan w:val="4"/>
          </w:tcPr>
          <w:p>
            <w:pPr>
              <w:spacing w:after="0"/>
              <w:rPr>
                <w:sz w:val="20"/>
                <w:szCs w:val="20"/>
                <w:color w:val="auto"/>
              </w:rPr>
            </w:pPr>
            <w:r>
              <w:rPr>
                <w:rFonts w:ascii="Times New Roman" w:cs="Times New Roman" w:eastAsia="Times New Roman" w:hAnsi="Times New Roman"/>
                <w:sz w:val="12"/>
                <w:szCs w:val="12"/>
                <w:color w:val="0E32E1"/>
              </w:rPr>
              <w:t>Presentation materials</w:t>
            </w:r>
          </w:p>
        </w:tc>
      </w:tr>
      <w:tr>
        <w:trPr>
          <w:trHeight w:val="20"/>
        </w:trPr>
        <w:tc>
          <w:tcPr>
            <w:tcW w:w="1720" w:type="dxa"/>
            <w:vAlign w:val="bottom"/>
          </w:tcPr>
          <w:p>
            <w:pPr>
              <w:spacing w:after="0" w:line="20" w:lineRule="exact"/>
              <w:rPr>
                <w:sz w:val="1"/>
                <w:szCs w:val="1"/>
                <w:color w:val="auto"/>
              </w:rPr>
            </w:pPr>
          </w:p>
        </w:tc>
        <w:tc>
          <w:tcPr>
            <w:tcW w:w="1060" w:type="dxa"/>
            <w:vAlign w:val="bottom"/>
            <w:shd w:val="clear" w:color="auto" w:fill="0E32E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r>
      <w:tr>
        <w:trPr>
          <w:trHeight w:val="142"/>
        </w:trPr>
        <w:tc>
          <w:tcPr>
            <w:tcW w:w="1720" w:type="dxa"/>
            <w:vAlign w:val="bottom"/>
          </w:tcPr>
          <w:p>
            <w:pPr>
              <w:spacing w:after="0"/>
              <w:rPr>
                <w:sz w:val="20"/>
                <w:szCs w:val="20"/>
                <w:color w:val="auto"/>
              </w:rPr>
            </w:pPr>
            <w:r>
              <w:rPr>
                <w:rFonts w:ascii="Times New Roman" w:cs="Times New Roman" w:eastAsia="Times New Roman" w:hAnsi="Times New Roman"/>
                <w:sz w:val="12"/>
                <w:szCs w:val="12"/>
                <w:color w:val="auto"/>
              </w:rPr>
              <w:t>Exhibit 99.3</w:t>
            </w:r>
          </w:p>
        </w:tc>
        <w:tc>
          <w:tcPr>
            <w:tcW w:w="334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2"/>
                <w:szCs w:val="12"/>
                <w:color w:val="0E32E1"/>
                <w:w w:val="99"/>
              </w:rPr>
              <w:t>Press release, dated October 28, 2026, announcing quarterly dividend</w:t>
            </w:r>
          </w:p>
        </w:tc>
        <w:tc>
          <w:tcPr>
            <w:tcW w:w="6240" w:type="dxa"/>
            <w:vAlign w:val="bottom"/>
            <w:gridSpan w:val="2"/>
          </w:tcPr>
          <w:p>
            <w:pPr>
              <w:spacing w:after="0"/>
              <w:rPr>
                <w:sz w:val="12"/>
                <w:szCs w:val="12"/>
                <w:color w:val="auto"/>
              </w:rPr>
            </w:pPr>
          </w:p>
        </w:tc>
      </w:tr>
      <w:tr>
        <w:trPr>
          <w:trHeight w:val="169"/>
        </w:trPr>
        <w:tc>
          <w:tcPr>
            <w:tcW w:w="1720" w:type="dxa"/>
            <w:vAlign w:val="bottom"/>
          </w:tcPr>
          <w:p>
            <w:pPr>
              <w:spacing w:after="0"/>
              <w:rPr>
                <w:sz w:val="20"/>
                <w:szCs w:val="20"/>
                <w:color w:val="auto"/>
              </w:rPr>
            </w:pPr>
            <w:r>
              <w:rPr>
                <w:rFonts w:ascii="Times New Roman" w:cs="Times New Roman" w:eastAsia="Times New Roman" w:hAnsi="Times New Roman"/>
                <w:sz w:val="12"/>
                <w:szCs w:val="12"/>
                <w:color w:val="auto"/>
              </w:rPr>
              <w:t>Exhibit 104</w:t>
            </w:r>
          </w:p>
        </w:tc>
        <w:tc>
          <w:tcPr>
            <w:tcW w:w="95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48"/>
        </w:trPr>
        <w:tc>
          <w:tcPr>
            <w:tcW w:w="17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4" w:right="299" w:bottom="1440" w:gutter="0" w:footer="0" w:header="0"/>
        </w:sectPr>
      </w:pPr>
    </w:p>
    <w:bookmarkStart w:id="2" w:name="page3"/>
    <w:bookmarkEnd w:id="2"/>
    <w:p>
      <w:pPr>
        <w:ind w:left="548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as amended, the Registrant has duly caused this report to be signed on its behalf by the undersigned thereunto duly authorized.</w:t>
      </w:r>
    </w:p>
    <w:p>
      <w:pPr>
        <w:spacing w:after="0" w:line="194"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2"/>
          <w:szCs w:val="12"/>
          <w:b w:val="1"/>
          <w:bCs w:val="1"/>
          <w:color w:val="auto"/>
        </w:rPr>
        <w:t>Dated: October 28, 2026</w:t>
      </w:r>
      <w:r>
        <w:rPr>
          <w:sz w:val="20"/>
          <w:szCs w:val="20"/>
          <w:color w:val="auto"/>
        </w:rPr>
        <w:tab/>
      </w:r>
      <w:r>
        <w:rPr>
          <w:rFonts w:ascii="Times New Roman" w:cs="Times New Roman" w:eastAsia="Times New Roman" w:hAnsi="Times New Roman"/>
          <w:sz w:val="11"/>
          <w:szCs w:val="11"/>
          <w:b w:val="1"/>
          <w:bCs w:val="1"/>
          <w:color w:val="auto"/>
        </w:rPr>
        <w:t>ORIGIN BANCORP, INC.</w:t>
      </w:r>
    </w:p>
    <w:p>
      <w:pPr>
        <w:spacing w:after="0" w:line="35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u w:val="single" w:color="auto"/>
          <w:color w:val="auto"/>
        </w:rPr>
        <w:t>/s/ William J. Wallace, IV</w:t>
      </w:r>
    </w:p>
    <w:p>
      <w:pPr>
        <w:spacing w:after="0" w:line="2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2"/>
          <w:szCs w:val="12"/>
          <w:color w:val="auto"/>
        </w:rPr>
        <w:t>William J. Wallace, IV</w:t>
      </w:r>
    </w:p>
    <w:p>
      <w:pPr>
        <w:spacing w:after="0" w:line="2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2"/>
          <w:szCs w:val="12"/>
          <w:color w:val="auto"/>
        </w:rPr>
        <w:t>Senior Executive Officer and Chief Financial Officer</w:t>
      </w:r>
    </w:p>
    <w:p>
      <w:pPr>
        <w:sectPr>
          <w:pgSz w:w="11900" w:h="16838" w:orient="portrait"/>
          <w:cols w:equalWidth="0" w:num="1">
            <w:col w:w="10159"/>
          </w:cols>
          <w:pgMar w:left="300" w:top="638"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i w:val="1"/>
          <w:i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3810</wp:posOffset>
            </wp:positionV>
            <wp:extent cx="3897630" cy="63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9763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ORIGIN BANCORP, INC. REPORTS EARNINGS FOR THIRD QUARTER 2026</w:t>
      </w:r>
    </w:p>
    <w:p>
      <w:pPr>
        <w:spacing w:after="0" w:line="114" w:lineRule="exact"/>
        <w:rPr>
          <w:sz w:val="20"/>
          <w:szCs w:val="20"/>
          <w:color w:val="auto"/>
        </w:rPr>
      </w:pPr>
    </w:p>
    <w:p>
      <w:pPr>
        <w:jc w:val="both"/>
        <w:ind w:left="8" w:right="20" w:firstLine="432"/>
        <w:spacing w:after="0" w:line="239" w:lineRule="auto"/>
        <w:rPr>
          <w:sz w:val="20"/>
          <w:szCs w:val="20"/>
          <w:color w:val="auto"/>
        </w:rPr>
      </w:pPr>
      <w:r>
        <w:rPr>
          <w:rFonts w:ascii="Times New Roman" w:cs="Times New Roman" w:eastAsia="Times New Roman" w:hAnsi="Times New Roman"/>
          <w:sz w:val="12"/>
          <w:szCs w:val="12"/>
          <w:b w:val="1"/>
          <w:bCs w:val="1"/>
          <w:color w:val="auto"/>
        </w:rPr>
        <w:t xml:space="preserve">RUSTON, Louisiana (October 28, 2026) </w:t>
      </w:r>
      <w:r>
        <w:rPr>
          <w:rFonts w:ascii="Times New Roman" w:cs="Times New Roman" w:eastAsia="Times New Roman" w:hAnsi="Times New Roman"/>
          <w:sz w:val="12"/>
          <w:szCs w:val="12"/>
          <w:color w:val="auto"/>
        </w:rPr>
        <w:t>- Origin Bancorp, Inc. (TXSE: OBK) (“Origin,” “we,” “our” or the “Company”), the holding company for Origin Bank (the “Bank”), today announced net income of $37.8 million,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$1.22 diluted earnings per share (“EPS”), for the quarter ended September 30, 2026, compared to net income of $33.8 million, or $1.09 diluted EPS, for the quarter ended June 30, 2026. Pre-tax, pre-provision (“PTPP”)</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earnings were $50.7 million for the quarter ended September 30, 2026, compared to $43.2 million for the linked quarter.</w:t>
      </w:r>
    </w:p>
    <w:p>
      <w:pPr>
        <w:spacing w:after="0" w:line="86" w:lineRule="exact"/>
        <w:rPr>
          <w:sz w:val="20"/>
          <w:szCs w:val="20"/>
          <w:color w:val="auto"/>
        </w:rPr>
      </w:pPr>
    </w:p>
    <w:p>
      <w:pPr>
        <w:ind w:left="8" w:right="280" w:firstLine="432"/>
        <w:spacing w:after="0" w:line="251" w:lineRule="auto"/>
        <w:rPr>
          <w:sz w:val="20"/>
          <w:szCs w:val="20"/>
          <w:color w:val="auto"/>
        </w:rPr>
      </w:pPr>
      <w:r>
        <w:rPr>
          <w:rFonts w:ascii="Times New Roman" w:cs="Times New Roman" w:eastAsia="Times New Roman" w:hAnsi="Times New Roman"/>
          <w:sz w:val="12"/>
          <w:szCs w:val="12"/>
          <w:color w:val="auto"/>
        </w:rPr>
        <w:t xml:space="preserve">“Our third quarter results reflect the discipline and commitment of our team and the progress we are making through </w:t>
      </w:r>
      <w:r>
        <w:rPr>
          <w:rFonts w:ascii="Times New Roman" w:cs="Times New Roman" w:eastAsia="Times New Roman" w:hAnsi="Times New Roman"/>
          <w:sz w:val="12"/>
          <w:szCs w:val="12"/>
          <w:i w:val="1"/>
          <w:iCs w:val="1"/>
          <w:color w:val="auto"/>
        </w:rPr>
        <w:t>Optimize Origin</w:t>
      </w:r>
      <w:r>
        <w:rPr>
          <w:rFonts w:ascii="Times New Roman" w:cs="Times New Roman" w:eastAsia="Times New Roman" w:hAnsi="Times New Roman"/>
          <w:sz w:val="12"/>
          <w:szCs w:val="12"/>
          <w:color w:val="auto"/>
        </w:rPr>
        <w:t>,” said Drake Mills, chairman, president and CEO of Origin Bancorp, Inc. “We are delivering higher levels of profitability while deepening relationships and investing intentionally in our franchise. I am proud of what we accomplished this quarter, and we know there is more work ahead as we continue delivering long-term value to our shareholders.”</w:t>
      </w:r>
    </w:p>
    <w:p>
      <w:pPr>
        <w:spacing w:after="0" w:line="116" w:lineRule="exact"/>
        <w:rPr>
          <w:sz w:val="20"/>
          <w:szCs w:val="20"/>
          <w:color w:val="auto"/>
        </w:rPr>
      </w:pPr>
    </w:p>
    <w:p>
      <w:pPr>
        <w:ind w:left="88" w:hanging="88"/>
        <w:spacing w:after="0"/>
        <w:tabs>
          <w:tab w:leader="none" w:pos="88" w:val="left"/>
        </w:tabs>
        <w:numPr>
          <w:ilvl w:val="0"/>
          <w:numId w:val="2"/>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PTPP earnings is a non-GAAP financial measure, please see the last few pages of this document for a reconciliation of this alternative financial measure to its most directly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Optimize Origin</w:t>
      </w:r>
    </w:p>
    <w:p>
      <w:pPr>
        <w:spacing w:after="0" w:line="116" w:lineRule="exact"/>
        <w:rPr>
          <w:sz w:val="20"/>
          <w:szCs w:val="20"/>
          <w:color w:val="auto"/>
        </w:rPr>
      </w:pPr>
    </w:p>
    <w:p>
      <w:pPr>
        <w:ind w:left="428" w:hanging="212"/>
        <w:spacing w:after="0"/>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January 2025, we announced our </w:t>
      </w:r>
      <w:r>
        <w:rPr>
          <w:rFonts w:ascii="Times New Roman" w:cs="Times New Roman" w:eastAsia="Times New Roman" w:hAnsi="Times New Roman"/>
          <w:sz w:val="12"/>
          <w:szCs w:val="12"/>
          <w:i w:val="1"/>
          <w:iCs w:val="1"/>
          <w:color w:val="auto"/>
        </w:rPr>
        <w:t>Optimize Origin</w:t>
      </w:r>
      <w:r>
        <w:rPr>
          <w:rFonts w:ascii="Times New Roman" w:cs="Times New Roman" w:eastAsia="Times New Roman" w:hAnsi="Times New Roman"/>
          <w:sz w:val="12"/>
          <w:szCs w:val="12"/>
          <w:color w:val="auto"/>
        </w:rPr>
        <w:t xml:space="preserve"> initiative to drive elite financial performance and enhance our award-winning culture, and it continues to be an important part of our corporate DNA.</w:t>
      </w:r>
    </w:p>
    <w:p>
      <w:pPr>
        <w:spacing w:after="0" w:line="11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Built on three primary pillars:</w:t>
      </w:r>
    </w:p>
    <w:p>
      <w:pPr>
        <w:spacing w:after="0" w:line="42"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Productivity, Delivery &amp; Efficiency</w:t>
      </w:r>
    </w:p>
    <w:p>
      <w:pPr>
        <w:spacing w:after="0" w:line="42" w:lineRule="exact"/>
        <w:rPr>
          <w:rFonts w:ascii="Times New Roman" w:cs="Times New Roman" w:eastAsia="Times New Roman" w:hAnsi="Times New Roman"/>
          <w:sz w:val="12"/>
          <w:szCs w:val="12"/>
          <w:b w:val="1"/>
          <w:bCs w:val="1"/>
          <w:color w:val="auto"/>
        </w:rPr>
      </w:pPr>
    </w:p>
    <w:p>
      <w:pPr>
        <w:ind w:left="868" w:hanging="220"/>
        <w:spacing w:after="0"/>
        <w:tabs>
          <w:tab w:leader="none" w:pos="868" w:val="left"/>
        </w:tabs>
        <w:numPr>
          <w:ilvl w:val="1"/>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Balance Sheet Optimization</w:t>
      </w:r>
    </w:p>
    <w:p>
      <w:pPr>
        <w:spacing w:after="0" w:line="42" w:lineRule="exact"/>
        <w:rPr>
          <w:rFonts w:ascii="Times New Roman" w:cs="Times New Roman" w:eastAsia="Times New Roman" w:hAnsi="Times New Roman"/>
          <w:sz w:val="12"/>
          <w:szCs w:val="12"/>
          <w:b w:val="1"/>
          <w:bCs w:val="1"/>
          <w:color w:val="auto"/>
        </w:rPr>
      </w:pPr>
    </w:p>
    <w:p>
      <w:pPr>
        <w:ind w:left="868" w:hanging="220"/>
        <w:spacing w:after="0"/>
        <w:tabs>
          <w:tab w:leader="none" w:pos="868" w:val="left"/>
        </w:tabs>
        <w:numPr>
          <w:ilvl w:val="1"/>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Culture &amp; Employee Engagement</w:t>
      </w:r>
    </w:p>
    <w:p>
      <w:pPr>
        <w:spacing w:after="0" w:line="112" w:lineRule="exact"/>
        <w:rPr>
          <w:rFonts w:ascii="Times New Roman" w:cs="Times New Roman" w:eastAsia="Times New Roman" w:hAnsi="Times New Roman"/>
          <w:sz w:val="12"/>
          <w:szCs w:val="12"/>
          <w:b w:val="1"/>
          <w:bCs w:val="1"/>
          <w:color w:val="auto"/>
        </w:rPr>
      </w:pPr>
    </w:p>
    <w:p>
      <w:pPr>
        <w:ind w:left="428" w:hanging="212"/>
        <w:spacing w:after="0"/>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announced in our </w:t>
      </w:r>
      <w:r>
        <w:rPr>
          <w:rFonts w:ascii="Times New Roman" w:cs="Times New Roman" w:eastAsia="Times New Roman" w:hAnsi="Times New Roman"/>
          <w:sz w:val="12"/>
          <w:szCs w:val="12"/>
          <w:i w:val="1"/>
          <w:iCs w:val="1"/>
          <w:color w:val="auto"/>
        </w:rPr>
        <w:t>Fourth Quarter and Full Year 2025 Earnings Release</w:t>
      </w:r>
      <w:r>
        <w:rPr>
          <w:rFonts w:ascii="Times New Roman" w:cs="Times New Roman" w:eastAsia="Times New Roman" w:hAnsi="Times New Roman"/>
          <w:sz w:val="12"/>
          <w:szCs w:val="12"/>
          <w:color w:val="auto"/>
        </w:rPr>
        <w:t>, our near term ROAA run rate target is 1.15% or higher by 4Q26, as we continue towards our ultimate top quartile ROAA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Financial Highlights</w:t>
      </w:r>
    </w:p>
    <w:p>
      <w:pPr>
        <w:spacing w:after="0" w:line="118" w:lineRule="exact"/>
        <w:rPr>
          <w:sz w:val="20"/>
          <w:szCs w:val="20"/>
          <w:color w:val="auto"/>
        </w:rPr>
      </w:pPr>
    </w:p>
    <w:p>
      <w:pPr>
        <w:ind w:left="428" w:right="340" w:hanging="212"/>
        <w:spacing w:after="0" w:line="279" w:lineRule="auto"/>
        <w:tabs>
          <w:tab w:leader="none" w:pos="42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continued to deliver strong performance, and in some cases, record performance across numerous key financial metrics including, but not limited to, net income, net interest income, fully tax-equivalent net interest margin (“NIM-FTE”) and diluted earnings per share.</w:t>
      </w:r>
    </w:p>
    <w:p>
      <w:pPr>
        <w:spacing w:after="0" w:line="75"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was $37.8 million for the quarter ended September 30, 2026, reflecting an increase of $3.9 million, or 11.6%, compared to the linked quarter.</w:t>
      </w:r>
    </w:p>
    <w:p>
      <w:pPr>
        <w:spacing w:after="0" w:line="114"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Non-interest income was $18.1 million for the quarter ended September 30, 2026, reflecting an increase of $2.7 million, or 17.5%, compared to the linked quarter.</w:t>
      </w:r>
    </w:p>
    <w:p>
      <w:pPr>
        <w:spacing w:after="0" w:line="114"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NIM-FTE increased two basis points to 3.94% for the quarter ended September 30, 2026, compared to the quarter ended June 30, 2026.</w:t>
      </w:r>
    </w:p>
    <w:p>
      <w:pPr>
        <w:spacing w:after="0" w:line="114"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ROAA was 1.47% for the quarter ended September 30, 2026, reflecting an increase of 12 basis points, compared to the quarter ended June 30, 2026.</w:t>
      </w:r>
    </w:p>
    <w:p>
      <w:pPr>
        <w:spacing w:after="0" w:line="200" w:lineRule="exact"/>
        <w:rPr>
          <w:sz w:val="20"/>
          <w:szCs w:val="20"/>
          <w:color w:val="auto"/>
        </w:rPr>
      </w:pPr>
    </w:p>
    <w:p>
      <w:pPr>
        <w:spacing w:after="0" w:line="2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8"/>
          </w:cols>
          <w:pgMar w:left="292" w:top="993" w:right="299" w:bottom="1440" w:gutter="0" w:footer="0" w:header="0"/>
        </w:sectPr>
      </w:pPr>
    </w:p>
    <w:bookmarkStart w:id="4" w:name="page5"/>
    <w:bookmarkEnd w:id="4"/>
    <w:p>
      <w:pPr>
        <w:ind w:left="420" w:right="40" w:hanging="212"/>
        <w:spacing w:after="0" w:line="279"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loans held for investment (“LHFI”) were $8.09 billion at September 30, 2026, reflecting an increase of $20.6 million, or 0.3%, compared to June 30, 2026. LHFI, excluding mortgage warehouse lines of credit, were $7.65 billion at September 30, 2026, reflecting an increase of $170.6 million, or 2.3%, compared to June 30, 2026.</w:t>
      </w:r>
    </w:p>
    <w:p>
      <w:pPr>
        <w:spacing w:after="0" w:line="75" w:lineRule="exact"/>
        <w:rPr>
          <w:rFonts w:ascii="Times New Roman" w:cs="Times New Roman" w:eastAsia="Times New Roman" w:hAnsi="Times New Roman"/>
          <w:sz w:val="12"/>
          <w:szCs w:val="12"/>
          <w:color w:val="auto"/>
        </w:rPr>
      </w:pPr>
    </w:p>
    <w:p>
      <w:pPr>
        <w:ind w:left="420" w:right="120" w:hanging="212"/>
        <w:spacing w:after="0" w:line="279"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quarter ended September 30, 2026, we repurchased 272,927 shares of our common stock at an average price of $54.21 per share, including commissions and applicable excise taxes. At September 30, 2026, $106.8 million remains available for share repurchases under the share repurchase program.</w:t>
      </w:r>
    </w:p>
    <w:p>
      <w:pPr>
        <w:spacing w:after="0" w:line="75" w:lineRule="exact"/>
        <w:rPr>
          <w:rFonts w:ascii="Times New Roman" w:cs="Times New Roman" w:eastAsia="Times New Roman" w:hAnsi="Times New Roman"/>
          <w:sz w:val="12"/>
          <w:szCs w:val="12"/>
          <w:color w:val="auto"/>
        </w:rPr>
      </w:pPr>
    </w:p>
    <w:p>
      <w:pPr>
        <w:ind w:left="420" w:right="440" w:hanging="212"/>
        <w:spacing w:after="0" w:line="279"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October 2026, our board approved an increase in our quarterly dividend from $0.25 to $0.28 per share, a 12% increase. Combined with the $0.10 per share increase approved in April 2026, the quarterly dividend has increased from $0.15 to $0.28 per share, or 87%, reflecting our strong balance sheet and durable earnings.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 for the Quarter Ended September 30, 2026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Interest Income and Net Interest Margin</w:t>
      </w:r>
    </w:p>
    <w:p>
      <w:pPr>
        <w:spacing w:after="0" w:line="118"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Net interest income for the quarter ended September 30, 2026, was $95.1 million, an increase of $2.9 million, or 3.2%, compared to the quarter ended June 30, 2026. The expansion in net interest income was primarily driven by a $4.3 million increase in interest income, which was partially offset by a $1.4 million increase in interest expense.</w:t>
      </w:r>
    </w:p>
    <w:p>
      <w:pPr>
        <w:spacing w:after="0" w:line="75"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The $4.3 million increase in interest income was primarily due to an increase of $3.6 million in interest income on loans held for investment, mainly driven by higher average loan balances, which contributed $1.6 million of the increase. An additional $1.4 million of the increase resulted from one additional calendar day during the current quarter, while the remaining $648,000 was attributable to higher loan yields.</w:t>
      </w:r>
    </w:p>
    <w:p>
      <w:pPr>
        <w:spacing w:after="0" w:line="75"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2"/>
          <w:szCs w:val="12"/>
          <w:color w:val="auto"/>
        </w:rPr>
        <w:t>The $1.4 million increase in interest expense was primarily attributable to a $2.1 million increase in interest expense on interest-bearing deposits, partially offset by a $740,000 decrease in interest expense on FHLB advances and other borrowings. The increase in interest expense on interest-bearing deposits was primarily attributable to higher average balances, which increased interest expense by $1.1 million. This impact was primarily related to higher average money market deposit balances, which increased interest expense by $1.6 million, partially offset by lower average balances in interest-bearing demand deposits. Higher rates and one extra day in the quarter contributed another $1.0 million to the increase in interest expense on deposits. The decrease in interest expense on FHLB and other borrowings was mainly attributable to lower average borrowing balances, which decreased interest expense by approximately $762,000.</w:t>
      </w:r>
    </w:p>
    <w:p>
      <w:pPr>
        <w:spacing w:after="0" w:line="89"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The Federal Reserve Board sets various benchmark rates, including the federal funds rate, and thereby influences the general market rates of interest, including loan and deposit rates offered by financial institutions. On October 29, 2025, and December 10, 2025, the Federal Reserve Board reduced the federal funds target rate range by 25 basis points each, to a range of 3.50% to 3.75%. On September 16, 2026, the Federal Reserve Board raised the federal funds target rate range by 25 basis points, to a range of 3.75% to 4.00%.</w:t>
      </w:r>
    </w:p>
    <w:p>
      <w:pPr>
        <w:spacing w:after="0" w:line="83" w:lineRule="exact"/>
        <w:rPr>
          <w:sz w:val="20"/>
          <w:szCs w:val="20"/>
          <w:color w:val="auto"/>
        </w:rPr>
      </w:pPr>
    </w:p>
    <w:p>
      <w:pPr>
        <w:jc w:val="both"/>
        <w:ind w:right="80" w:firstLine="432"/>
        <w:spacing w:after="0" w:line="265" w:lineRule="auto"/>
        <w:rPr>
          <w:sz w:val="20"/>
          <w:szCs w:val="20"/>
          <w:color w:val="auto"/>
        </w:rPr>
      </w:pPr>
      <w:r>
        <w:rPr>
          <w:rFonts w:ascii="Times New Roman" w:cs="Times New Roman" w:eastAsia="Times New Roman" w:hAnsi="Times New Roman"/>
          <w:sz w:val="12"/>
          <w:szCs w:val="12"/>
          <w:color w:val="auto"/>
        </w:rPr>
        <w:t>Our NIM-FTE was 3.94% for the quarter ended September 30, 2026, up two basis points from the linked quarter and 29 basis points from the quarter ended September 30, 2025. The yield earned on interest-earning assets was 5.76%, representing a two-basis-point increase and a 13-basis-point decrease compared to the linked quarter and the quarter ended September 30, 2025, respectively. The average rate paid on total interest-bearing liabilities was 2.70%, representing a three-basis-point increase from the linked quarter and down 52 basis points compared to the quarter ended September 30, 2025.</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831" w:right="299" w:bottom="1440" w:gutter="0" w:footer="0" w:header="0"/>
        </w:sectPr>
      </w:pPr>
    </w:p>
    <w:bookmarkStart w:id="5" w:name="page6"/>
    <w:bookmarkEnd w:id="5"/>
    <w:p>
      <w:pPr>
        <w:ind w:left="8"/>
        <w:spacing w:after="0"/>
        <w:rPr>
          <w:sz w:val="20"/>
          <w:szCs w:val="20"/>
          <w:color w:val="auto"/>
        </w:rPr>
      </w:pPr>
      <w:r>
        <w:rPr>
          <w:rFonts w:ascii="Times New Roman" w:cs="Times New Roman" w:eastAsia="Times New Roman" w:hAnsi="Times New Roman"/>
          <w:sz w:val="12"/>
          <w:szCs w:val="12"/>
          <w:b w:val="1"/>
          <w:bCs w:val="1"/>
          <w:color w:val="auto"/>
        </w:rPr>
        <w:t>Credit Quality</w:t>
      </w:r>
    </w:p>
    <w:p>
      <w:pPr>
        <w:spacing w:after="0" w:line="1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table below includes key credit quality information:</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0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6"/>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7"/>
              </w:rPr>
              <w:t>At and For the Three Months Ended</w:t>
            </w:r>
          </w:p>
        </w:tc>
        <w:tc>
          <w:tcPr>
            <w:tcW w:w="1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Change</w:t>
            </w:r>
          </w:p>
        </w:tc>
      </w:tr>
      <w:tr>
        <w:trPr>
          <w:trHeight w:val="108"/>
        </w:trPr>
        <w:tc>
          <w:tcPr>
            <w:tcW w:w="4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jc w:val="right"/>
              <w:ind w:right="266"/>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tcPr>
          <w:p>
            <w:pPr>
              <w:jc w:val="center"/>
              <w:ind w:right="360"/>
              <w:spacing w:after="0" w:line="10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240" w:type="dxa"/>
            <w:vAlign w:val="bottom"/>
          </w:tcPr>
          <w:p>
            <w:pPr>
              <w:spacing w:after="0"/>
              <w:rPr>
                <w:sz w:val="9"/>
                <w:szCs w:val="9"/>
                <w:color w:val="auto"/>
              </w:rPr>
            </w:pPr>
          </w:p>
        </w:tc>
        <w:tc>
          <w:tcPr>
            <w:tcW w:w="134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240" w:type="dxa"/>
            <w:vAlign w:val="bottom"/>
          </w:tcPr>
          <w:p>
            <w:pPr>
              <w:spacing w:after="0"/>
              <w:rPr>
                <w:sz w:val="9"/>
                <w:szCs w:val="9"/>
                <w:color w:val="auto"/>
              </w:rPr>
            </w:pPr>
          </w:p>
        </w:tc>
        <w:tc>
          <w:tcPr>
            <w:tcW w:w="1080" w:type="dxa"/>
            <w:vAlign w:val="bottom"/>
            <w:gridSpan w:val="2"/>
          </w:tcPr>
          <w:p>
            <w:pPr>
              <w:ind w:left="200"/>
              <w:spacing w:after="0" w:line="108" w:lineRule="exact"/>
              <w:rPr>
                <w:sz w:val="20"/>
                <w:szCs w:val="20"/>
                <w:color w:val="auto"/>
              </w:rPr>
            </w:pPr>
            <w:r>
              <w:rPr>
                <w:rFonts w:ascii="Times New Roman" w:cs="Times New Roman" w:eastAsia="Times New Roman" w:hAnsi="Times New Roman"/>
                <w:sz w:val="11"/>
                <w:szCs w:val="11"/>
                <w:b w:val="1"/>
                <w:bCs w:val="1"/>
                <w:color w:val="auto"/>
              </w:rPr>
              <w:t>Linked</w:t>
            </w:r>
          </w:p>
        </w:tc>
        <w:tc>
          <w:tcPr>
            <w:tcW w:w="12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Linked</w:t>
            </w:r>
          </w:p>
        </w:tc>
      </w:tr>
      <w:tr>
        <w:trPr>
          <w:trHeight w:val="143"/>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(Dollars in thousands, unaudited)</w:t>
            </w: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Quarter</w:t>
            </w:r>
          </w:p>
        </w:tc>
      </w:tr>
      <w:tr>
        <w:trPr>
          <w:trHeight w:val="14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Past due 30 to 89 days and still accruing</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10,308</w:t>
            </w: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5,203</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7,739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5,105</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98.1 %</w:t>
            </w:r>
          </w:p>
        </w:tc>
      </w:tr>
      <w:tr>
        <w:trPr>
          <w:trHeight w:val="151"/>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Total nonperforming LHFI</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78,522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88,282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(6,061)</w:t>
            </w:r>
          </w:p>
        </w:tc>
        <w:tc>
          <w:tcPr>
            <w:tcW w:w="10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(7.7)</w:t>
            </w:r>
          </w:p>
        </w:tc>
      </w:tr>
      <w:tr>
        <w:trPr>
          <w:trHeight w:val="155"/>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Nonperforming Assets</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75,102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79,281</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88,859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(4,179)</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w:t>
            </w:r>
          </w:p>
        </w:tc>
      </w:tr>
      <w:tr>
        <w:trPr>
          <w:trHeight w:val="151"/>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Allowance for loan credit losses (“ALCL”)</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98,378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98,188</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96,259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tcPr>
          <w:p>
            <w:pPr>
              <w:spacing w:after="0"/>
              <w:rPr>
                <w:sz w:val="13"/>
                <w:szCs w:val="13"/>
                <w:color w:val="auto"/>
              </w:rPr>
            </w:pPr>
          </w:p>
        </w:tc>
        <w:tc>
          <w:tcPr>
            <w:tcW w:w="1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0.2</w:t>
            </w:r>
          </w:p>
        </w:tc>
      </w:tr>
      <w:tr>
        <w:trPr>
          <w:trHeight w:val="155"/>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65</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36,820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2,541</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N/M</w:t>
            </w:r>
          </w:p>
        </w:tc>
      </w:tr>
      <w:tr>
        <w:trPr>
          <w:trHeight w:val="151"/>
        </w:trPr>
        <w:tc>
          <w:tcPr>
            <w:tcW w:w="4080" w:type="dxa"/>
            <w:vAlign w:val="bottom"/>
          </w:tcPr>
          <w:p>
            <w:pPr>
              <w:spacing w:after="0"/>
              <w:rPr>
                <w:sz w:val="20"/>
                <w:szCs w:val="20"/>
                <w:color w:val="auto"/>
              </w:rPr>
            </w:pPr>
            <w:r>
              <w:rPr>
                <w:rFonts w:ascii="Times New Roman" w:cs="Times New Roman" w:eastAsia="Times New Roman" w:hAnsi="Times New Roman"/>
                <w:sz w:val="11"/>
                <w:szCs w:val="11"/>
                <w:color w:val="auto"/>
              </w:rPr>
              <w:t>Net charge-offs</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454</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31,383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2,207</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N/M</w:t>
            </w:r>
          </w:p>
        </w:tc>
      </w:tr>
      <w:tr>
        <w:trPr>
          <w:trHeight w:val="155"/>
        </w:trPr>
        <w:tc>
          <w:tcPr>
            <w:tcW w:w="40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b w:val="1"/>
                <w:bCs w:val="1"/>
                <w:color w:val="auto"/>
              </w:rPr>
              <w:t>Credit quality ratios</w:t>
            </w:r>
            <w:r>
              <w:rPr>
                <w:rFonts w:ascii="Times New Roman" w:cs="Times New Roman" w:eastAsia="Times New Roman" w:hAnsi="Times New Roman"/>
                <w:sz w:val="14"/>
                <w:szCs w:val="14"/>
                <w:b w:val="1"/>
                <w:bCs w:val="1"/>
                <w:color w:val="auto"/>
                <w:vertAlign w:val="superscript"/>
              </w:rPr>
              <w:t>(1)</w:t>
            </w:r>
            <w:r>
              <w:rPr>
                <w:rFonts w:ascii="Times New Roman" w:cs="Times New Roman" w:eastAsia="Times New Roman" w:hAnsi="Times New Roman"/>
                <w:sz w:val="11"/>
                <w:szCs w:val="11"/>
                <w:b w:val="1"/>
                <w:bCs w:val="1"/>
                <w:color w:val="auto"/>
              </w:rPr>
              <w:t>:</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1"/>
        </w:trPr>
        <w:tc>
          <w:tcPr>
            <w:tcW w:w="4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ALCL to nonperforming LHFI</w:t>
            </w:r>
          </w:p>
        </w:tc>
        <w:tc>
          <w:tcPr>
            <w:tcW w:w="24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135.77 %</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125.05 %</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109.04 %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10.72 %</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55"/>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ALCL to total LHFI</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1.22</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53"/>
        </w:trPr>
        <w:tc>
          <w:tcPr>
            <w:tcW w:w="4080" w:type="dxa"/>
            <w:vAlign w:val="bottom"/>
          </w:tcPr>
          <w:p>
            <w:pPr>
              <w:ind w:left="80"/>
              <w:spacing w:after="0" w:line="153" w:lineRule="exact"/>
              <w:rPr>
                <w:sz w:val="20"/>
                <w:szCs w:val="20"/>
                <w:color w:val="auto"/>
              </w:rPr>
            </w:pPr>
            <w:r>
              <w:rPr>
                <w:rFonts w:ascii="Times New Roman" w:cs="Times New Roman" w:eastAsia="Times New Roman" w:hAnsi="Times New Roman"/>
                <w:sz w:val="11"/>
                <w:szCs w:val="11"/>
                <w:color w:val="auto"/>
              </w:rPr>
              <w:t>ALCL to total LHFI, adjusted</w:t>
            </w:r>
            <w:r>
              <w:rPr>
                <w:rFonts w:ascii="Times New Roman" w:cs="Times New Roman" w:eastAsia="Times New Roman" w:hAnsi="Times New Roman"/>
                <w:sz w:val="14"/>
                <w:szCs w:val="14"/>
                <w:color w:val="auto"/>
                <w:vertAlign w:val="superscript"/>
              </w:rPr>
              <w:t>(2)</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53"/>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Nonperforming LHFI to LHFI</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0.97</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(0.07)</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51"/>
        </w:trPr>
        <w:tc>
          <w:tcPr>
            <w:tcW w:w="4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nonperforming assets to LHFI &amp; OREO</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0.98</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(0.05)</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55"/>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charge-offs to total average LHFI (annualized)</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0.02</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0.11</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bl>
    <w:p>
      <w:pPr>
        <w:spacing w:after="0" w:line="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___________________________</w:t>
      </w:r>
    </w:p>
    <w:p>
      <w:pPr>
        <w:spacing w:after="0" w:line="2"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0"/>
          <w:szCs w:val="10"/>
          <w:color w:val="auto"/>
        </w:rPr>
        <w:t>N/A = Not applicable.</w:t>
      </w:r>
    </w:p>
    <w:p>
      <w:pPr>
        <w:ind w:left="208"/>
        <w:spacing w:after="0"/>
        <w:rPr>
          <w:sz w:val="20"/>
          <w:szCs w:val="20"/>
          <w:color w:val="auto"/>
        </w:rPr>
      </w:pPr>
      <w:r>
        <w:rPr>
          <w:rFonts w:ascii="Times New Roman" w:cs="Times New Roman" w:eastAsia="Times New Roman" w:hAnsi="Times New Roman"/>
          <w:sz w:val="10"/>
          <w:szCs w:val="10"/>
          <w:color w:val="auto"/>
        </w:rPr>
        <w:t>N/M - Not meaningful</w:t>
      </w:r>
    </w:p>
    <w:p>
      <w:pPr>
        <w:ind w:left="208" w:hanging="208"/>
        <w:spacing w:after="0" w:line="207" w:lineRule="auto"/>
        <w:tabs>
          <w:tab w:leader="none" w:pos="208" w:val="left"/>
        </w:tabs>
        <w:numPr>
          <w:ilvl w:val="0"/>
          <w:numId w:val="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 xml:space="preserve">Please see the </w:t>
      </w:r>
      <w:r>
        <w:rPr>
          <w:rFonts w:ascii="Times New Roman" w:cs="Times New Roman" w:eastAsia="Times New Roman" w:hAnsi="Times New Roman"/>
          <w:sz w:val="10"/>
          <w:szCs w:val="10"/>
          <w:i w:val="1"/>
          <w:iCs w:val="1"/>
          <w:color w:val="auto"/>
        </w:rPr>
        <w:t>Loan Data</w:t>
      </w:r>
      <w:r>
        <w:rPr>
          <w:rFonts w:ascii="Times New Roman" w:cs="Times New Roman" w:eastAsia="Times New Roman" w:hAnsi="Times New Roman"/>
          <w:sz w:val="10"/>
          <w:szCs w:val="10"/>
          <w:color w:val="auto"/>
        </w:rPr>
        <w:t xml:space="preserve"> schedule at the back of this document for additional information.</w:t>
      </w:r>
    </w:p>
    <w:p>
      <w:pPr>
        <w:spacing w:after="0" w:line="4" w:lineRule="exact"/>
        <w:rPr>
          <w:rFonts w:ascii="Times New Roman" w:cs="Times New Roman" w:eastAsia="Times New Roman" w:hAnsi="Times New Roman"/>
          <w:sz w:val="12"/>
          <w:szCs w:val="12"/>
          <w:color w:val="auto"/>
          <w:vertAlign w:val="superscript"/>
        </w:rPr>
      </w:pPr>
    </w:p>
    <w:p>
      <w:pPr>
        <w:ind w:left="208" w:right="80" w:hanging="208"/>
        <w:spacing w:after="0" w:line="218" w:lineRule="auto"/>
        <w:tabs>
          <w:tab w:leader="none" w:pos="200" w:val="left"/>
        </w:tabs>
        <w:numPr>
          <w:ilvl w:val="0"/>
          <w:numId w:val="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ALCL to total LHFI, adjusted, is calculated by excluding the ALCL for mortgage warehouse lines of credit loans from the total LHFI ALCL in the numerator and excluding the mortgage warehouse lines of credit loans from the LHFI in the denominator. Due to their low-risk profile, mortgage warehouse lines of credit loans require a disproportionately low allocation of the ALCL.</w:t>
      </w:r>
    </w:p>
    <w:p>
      <w:pPr>
        <w:spacing w:after="0" w:line="9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Our results included a total provision for credit losses of $2.6 million during the quarter ended September 30, 2026, compared to $65,000 for the linked quarter, which includes the provision for loan credit losses, the off-</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balance sheet commitment credit losses and any provision for security credit losses. The increase was primarily the result of new loan production and an increase in net loan charge-offs, offset by credit migration improvement during</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quarter ended September 30, 2026, resulting in provision expense for loan credit losses of $2.9 million compared to a net benefit provision of $373,000 during the linked quarter. For the current quarter, we recorded reserves of</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$6.1 million related to new loan production and $1.3 million related to net charge-offs not previously reserved, which was primarily offset by $5.2 million in reserve releases related to net credit migration. Net credit migration reflects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combined impact of loan risk rating changes, specific reserve adjustments, and loan balance movements, such as loan balance changes and payoffs.</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ALCL totaled $98.4 million at September 30, 2026, a $190,000 increase compared to the ALCL as of June 30, 2026, and was 1.22% as a percentage of LHFI at both September 30, 2026 and June 30, 2026.</w:t>
      </w:r>
    </w:p>
    <w:p>
      <w:pPr>
        <w:spacing w:after="0" w:line="114" w:lineRule="exact"/>
        <w:rPr>
          <w:sz w:val="20"/>
          <w:szCs w:val="20"/>
          <w:color w:val="auto"/>
        </w:rPr>
      </w:pPr>
    </w:p>
    <w:p>
      <w:pPr>
        <w:ind w:left="8" w:right="20" w:firstLine="432"/>
        <w:spacing w:after="0" w:line="265" w:lineRule="auto"/>
        <w:rPr>
          <w:sz w:val="20"/>
          <w:szCs w:val="20"/>
          <w:color w:val="auto"/>
        </w:rPr>
      </w:pPr>
      <w:r>
        <w:rPr>
          <w:rFonts w:ascii="Times New Roman" w:cs="Times New Roman" w:eastAsia="Times New Roman" w:hAnsi="Times New Roman"/>
          <w:sz w:val="12"/>
          <w:szCs w:val="12"/>
          <w:color w:val="auto"/>
        </w:rPr>
        <w:t>Past due 30 to 89 days and still accruing increased $5.1 million to $10.3 million at September 30, 2026, when compared to June 30, 2026, and represented 0.13% of total LHFI, compared to 0.06% as of June 30, 2026. The increase in loans past due 30 to 89 days and still accruing was primarily driven by increases of $2.5 million, $1.7 million and $1.1 million in the commercial and industrial, commercial real estate and construction/land/land development sectors, respectively. 100% of the increases were in the 30 to 59 days past due category.</w:t>
      </w:r>
    </w:p>
    <w:p>
      <w:pPr>
        <w:spacing w:after="0" w:line="83" w:lineRule="exact"/>
        <w:rPr>
          <w:sz w:val="20"/>
          <w:szCs w:val="20"/>
          <w:color w:val="auto"/>
        </w:rPr>
      </w:pPr>
    </w:p>
    <w:p>
      <w:pPr>
        <w:ind w:left="8" w:right="120" w:firstLine="432"/>
        <w:spacing w:after="0" w:line="260" w:lineRule="auto"/>
        <w:rPr>
          <w:sz w:val="20"/>
          <w:szCs w:val="20"/>
          <w:color w:val="auto"/>
        </w:rPr>
      </w:pPr>
      <w:r>
        <w:rPr>
          <w:rFonts w:ascii="Times New Roman" w:cs="Times New Roman" w:eastAsia="Times New Roman" w:hAnsi="Times New Roman"/>
          <w:sz w:val="12"/>
          <w:szCs w:val="12"/>
          <w:color w:val="auto"/>
        </w:rPr>
        <w:t>Total nonperforming LHFI decreased $6.1 million at September 30, 2026, when compared to June 30, 2026. The decrease in nonperforming LHFI was driven by decreases in the sectors of commercial real estate, construction/land/land development and commercial and industrial, offset by an increase in single-family residential real estate nonperforming LHFI. $1.6 million of the decline in nonperforming LHFI was a result of net paydowns or payoffs of nonperforming loans, primarily in the construction/land/land development sector, impacted by the questioned banker activity first disclosed during the quarter ended June 30, 2024. During the current quarter, six loan relationships totaling $2.2 million previously classified as nonperforming LHFI were transferred to other real estate owned (“OREO”).</w:t>
      </w:r>
    </w:p>
    <w:p>
      <w:pPr>
        <w:spacing w:after="0" w:line="200" w:lineRule="exact"/>
        <w:rPr>
          <w:sz w:val="20"/>
          <w:szCs w:val="20"/>
          <w:color w:val="auto"/>
        </w:rPr>
      </w:pP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8"/>
          </w:cols>
          <w:pgMar w:left="292" w:top="935" w:right="299" w:bottom="1440" w:gutter="0" w:footer="0" w:header="0"/>
        </w:sectPr>
      </w:pPr>
    </w:p>
    <w:bookmarkStart w:id="6" w:name="page7"/>
    <w:bookmarkEnd w:id="6"/>
    <w:p>
      <w:pPr>
        <w:ind w:right="100" w:firstLine="432"/>
        <w:spacing w:after="0" w:line="249" w:lineRule="auto"/>
        <w:rPr>
          <w:sz w:val="20"/>
          <w:szCs w:val="20"/>
          <w:color w:val="auto"/>
        </w:rPr>
      </w:pPr>
      <w:r>
        <w:rPr>
          <w:rFonts w:ascii="Times New Roman" w:cs="Times New Roman" w:eastAsia="Times New Roman" w:hAnsi="Times New Roman"/>
          <w:sz w:val="12"/>
          <w:szCs w:val="12"/>
          <w:color w:val="auto"/>
        </w:rPr>
        <w:t>Net charge-offs were $2.7 million for the quarter ended September 30, 2026, reflecting an increase of $2.2 million compared to the quarter ended June 30, 2026, primarily reflecting lower recoveries of $1.5 million and an increase of $728,000 in charge-offs. The decrease in recoveries was primarily the result of lower recoveries in the commercial and industrial loan sector and the increase in charge-offs was primarily a result of higher charge-offs in the commercial real estate and commercial and industrial loan sectors.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Noninterest Income</w:t>
      </w:r>
    </w:p>
    <w:p>
      <w:pPr>
        <w:spacing w:after="0" w:line="118"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Noninterest income for the quarter ended September 30, 2026, was $18.1 million, an increase of $2.7 million, or 17.5%, from the linked quarter, primarily driven by an increase of $1.7 million in equity method investment income and an increase of $452,000 in insurance commission and fee income.</w:t>
      </w:r>
    </w:p>
    <w:p>
      <w:pPr>
        <w:spacing w:after="0" w:line="75"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$1.7 million increase in equity method investment income was primarily driven by an increase in Argent investment income of $1.2 million compared to the linked quarter and a reduction of $499,000 in limited partnership equity investment loss during the current quarter compared to the linked quarter.</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components of equity method investment income (loss)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2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At and For the Three Months Ended</w:t>
            </w: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9"/>
              </w:rPr>
              <w:t>$ Change</w:t>
            </w:r>
          </w:p>
        </w:tc>
        <w:tc>
          <w:tcPr>
            <w:tcW w:w="1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08"/>
        </w:trPr>
        <w:tc>
          <w:tcPr>
            <w:tcW w:w="2720" w:type="dxa"/>
            <w:vAlign w:val="bottom"/>
          </w:tcPr>
          <w:p>
            <w:pPr>
              <w:spacing w:after="0"/>
              <w:rPr>
                <w:sz w:val="9"/>
                <w:szCs w:val="9"/>
                <w:color w:val="auto"/>
              </w:rPr>
            </w:pPr>
          </w:p>
        </w:tc>
        <w:tc>
          <w:tcPr>
            <w:tcW w:w="1260" w:type="dxa"/>
            <w:vAlign w:val="bottom"/>
          </w:tcPr>
          <w:p>
            <w:pPr>
              <w:jc w:val="right"/>
              <w:ind w:right="46"/>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gridSpan w:val="2"/>
          </w:tcPr>
          <w:p>
            <w:pPr>
              <w:jc w:val="center"/>
              <w:ind w:right="4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June 30,</w:t>
            </w:r>
          </w:p>
        </w:tc>
        <w:tc>
          <w:tcPr>
            <w:tcW w:w="280" w:type="dxa"/>
            <w:vAlign w:val="bottom"/>
          </w:tcPr>
          <w:p>
            <w:pPr>
              <w:spacing w:after="0"/>
              <w:rPr>
                <w:sz w:val="9"/>
                <w:szCs w:val="9"/>
                <w:color w:val="auto"/>
              </w:rPr>
            </w:pPr>
          </w:p>
        </w:tc>
        <w:tc>
          <w:tcPr>
            <w:tcW w:w="1440" w:type="dxa"/>
            <w:vAlign w:val="bottom"/>
            <w:gridSpan w:val="2"/>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340" w:type="dxa"/>
            <w:vAlign w:val="bottom"/>
          </w:tcPr>
          <w:p>
            <w:pPr>
              <w:spacing w:after="0"/>
              <w:rPr>
                <w:sz w:val="9"/>
                <w:szCs w:val="9"/>
                <w:color w:val="auto"/>
              </w:rPr>
            </w:pPr>
          </w:p>
        </w:tc>
        <w:tc>
          <w:tcPr>
            <w:tcW w:w="1360" w:type="dxa"/>
            <w:vAlign w:val="bottom"/>
            <w:gridSpan w:val="2"/>
          </w:tcPr>
          <w:p>
            <w:pPr>
              <w:jc w:val="center"/>
              <w:ind w:right="4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Linked</w:t>
            </w:r>
          </w:p>
        </w:tc>
        <w:tc>
          <w:tcPr>
            <w:tcW w:w="17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Linked</w:t>
            </w:r>
          </w:p>
        </w:tc>
      </w:tr>
      <w:tr>
        <w:trPr>
          <w:trHeight w:val="143"/>
        </w:trPr>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(Dollars in thousands, unaudited)</w:t>
            </w:r>
          </w:p>
        </w:tc>
        <w:tc>
          <w:tcPr>
            <w:tcW w:w="12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2026</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266"/>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266"/>
              <w:spacing w:after="0"/>
              <w:rPr>
                <w:sz w:val="20"/>
                <w:szCs w:val="20"/>
                <w:color w:val="auto"/>
              </w:rPr>
            </w:pPr>
            <w:r>
              <w:rPr>
                <w:rFonts w:ascii="Times New Roman" w:cs="Times New Roman" w:eastAsia="Times New Roman" w:hAnsi="Times New Roman"/>
                <w:sz w:val="11"/>
                <w:szCs w:val="11"/>
                <w:b w:val="1"/>
                <w:bCs w:val="1"/>
                <w:color w:val="auto"/>
                <w:w w:val="98"/>
              </w:rPr>
              <w:t>Quarter</w:t>
            </w:r>
          </w:p>
        </w:tc>
        <w:tc>
          <w:tcPr>
            <w:tcW w:w="60" w:type="dxa"/>
            <w:vAlign w:val="bottom"/>
            <w:tcBorders>
              <w:bottom w:val="single" w:sz="8" w:color="CCEEFF"/>
            </w:tcBorders>
          </w:tcPr>
          <w:p>
            <w:pPr>
              <w:spacing w:after="0"/>
              <w:rPr>
                <w:sz w:val="12"/>
                <w:szCs w:val="12"/>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Quarter</w:t>
            </w:r>
          </w:p>
        </w:tc>
      </w:tr>
      <w:tr>
        <w:trPr>
          <w:trHeight w:val="14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Argent investment income</w:t>
            </w:r>
          </w:p>
        </w:tc>
        <w:tc>
          <w:tcPr>
            <w:tcW w:w="1260" w:type="dxa"/>
            <w:vAlign w:val="bottom"/>
            <w:shd w:val="clear" w:color="auto" w:fill="CCEEFF"/>
          </w:tcPr>
          <w:p>
            <w:pPr>
              <w:jc w:val="right"/>
              <w:ind w:right="11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w:t>
            </w:r>
          </w:p>
        </w:tc>
        <w:tc>
          <w:tcPr>
            <w:tcW w:w="42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1,172</w:t>
            </w:r>
          </w:p>
        </w:tc>
        <w:tc>
          <w:tcPr>
            <w:tcW w:w="60" w:type="dxa"/>
            <w:vAlign w:val="bottom"/>
            <w:shd w:val="clear" w:color="auto" w:fill="CCEEFF"/>
          </w:tcPr>
          <w:p>
            <w:pPr>
              <w:spacing w:after="0"/>
              <w:rPr>
                <w:sz w:val="12"/>
                <w:szCs w:val="1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175.4 %</w:t>
            </w:r>
          </w:p>
        </w:tc>
      </w:tr>
      <w:tr>
        <w:trPr>
          <w:trHeight w:val="151"/>
        </w:trPr>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Limited partnership investment loss</w:t>
            </w:r>
          </w:p>
        </w:tc>
        <w:tc>
          <w:tcPr>
            <w:tcW w:w="1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(1,280)</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499</w:t>
            </w:r>
          </w:p>
        </w:tc>
        <w:tc>
          <w:tcPr>
            <w:tcW w:w="6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39.0</w:t>
            </w:r>
          </w:p>
        </w:tc>
      </w:tr>
      <w:tr>
        <w:trPr>
          <w:trHeight w:val="160"/>
        </w:trPr>
        <w:tc>
          <w:tcPr>
            <w:tcW w:w="2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equity method investment income (loss)</w:t>
            </w:r>
          </w:p>
        </w:tc>
        <w:tc>
          <w:tcPr>
            <w:tcW w:w="1260" w:type="dxa"/>
            <w:vAlign w:val="bottom"/>
            <w:tcBorders>
              <w:bottom w:val="single" w:sz="8" w:color="auto"/>
            </w:tcBorders>
            <w:shd w:val="clear" w:color="auto" w:fill="CCEEFF"/>
          </w:tcPr>
          <w:p>
            <w:pPr>
              <w:jc w:val="right"/>
              <w:ind w:right="11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1,059</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1,671</w:t>
            </w:r>
          </w:p>
        </w:tc>
        <w:tc>
          <w:tcPr>
            <w:tcW w:w="6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273.0 %</w:t>
            </w:r>
          </w:p>
        </w:tc>
      </w:tr>
    </w:tbl>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$452,000 increase in insurance commission and fee income is primarily the result of an increase in life and health direct bill commission income.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Noninterest Expense</w:t>
      </w:r>
    </w:p>
    <w:p>
      <w:pPr>
        <w:spacing w:after="0" w:line="118"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Noninterest expense for the quarter ended September 30, 2026, was $62.5 million, a decrease of $1.9 million, or 3.0% from the linked quarter. The decrease was primarily due to a decrease of $869,000 in other expenses along with a decrease of $543,000 in professional services.</w:t>
      </w:r>
    </w:p>
    <w:p>
      <w:pPr>
        <w:spacing w:after="0" w:line="75" w:lineRule="exact"/>
        <w:rPr>
          <w:sz w:val="20"/>
          <w:szCs w:val="20"/>
          <w:color w:val="auto"/>
        </w:rPr>
      </w:pPr>
    </w:p>
    <w:p>
      <w:pPr>
        <w:ind w:right="320" w:firstLine="432"/>
        <w:spacing w:after="0" w:line="279" w:lineRule="auto"/>
        <w:rPr>
          <w:sz w:val="20"/>
          <w:szCs w:val="20"/>
          <w:color w:val="auto"/>
        </w:rPr>
      </w:pPr>
      <w:r>
        <w:rPr>
          <w:rFonts w:ascii="Times New Roman" w:cs="Times New Roman" w:eastAsia="Times New Roman" w:hAnsi="Times New Roman"/>
          <w:sz w:val="12"/>
          <w:szCs w:val="12"/>
          <w:color w:val="auto"/>
        </w:rPr>
        <w:t>The $869,000 decrease in other expense was primarily due to a $2.2 million release of contingency reserve offset by an $883,000 charge, both of which relate to the settlement of certain litigation involving the questioned banker activity first disclosed during the quarter ended June 30, 2024.</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$543,000 decrease in professional services was primarily due to a $452,000 decrease in consultant fees related to contract renegotiations that occurred during the first half of the 2026 fiscal year.</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822"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Financial Condition</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table below discloses the changes in certain balance sheet metrics: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gridSpan w:val="6"/>
          </w:tcPr>
          <w:p>
            <w:pPr>
              <w:jc w:val="center"/>
              <w:ind w:left="926"/>
              <w:spacing w:after="0"/>
              <w:rPr>
                <w:sz w:val="20"/>
                <w:szCs w:val="20"/>
                <w:color w:val="auto"/>
              </w:rPr>
            </w:pPr>
            <w:r>
              <w:rPr>
                <w:rFonts w:ascii="Times New Roman" w:cs="Times New Roman" w:eastAsia="Times New Roman" w:hAnsi="Times New Roman"/>
                <w:sz w:val="11"/>
                <w:szCs w:val="11"/>
                <w:b w:val="1"/>
                <w:bCs w:val="1"/>
                <w:color w:val="auto"/>
                <w:w w:val="98"/>
              </w:rPr>
              <w:t>At and For the Three Months Ended</w:t>
            </w: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28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08"/>
        </w:trPr>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280" w:type="dxa"/>
            <w:vAlign w:val="bottom"/>
          </w:tcPr>
          <w:p>
            <w:pPr>
              <w:spacing w:after="0"/>
              <w:rPr>
                <w:sz w:val="9"/>
                <w:szCs w:val="9"/>
                <w:color w:val="auto"/>
              </w:rPr>
            </w:pPr>
          </w:p>
        </w:tc>
        <w:tc>
          <w:tcPr>
            <w:tcW w:w="120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June 30,</w:t>
            </w:r>
          </w:p>
        </w:tc>
        <w:tc>
          <w:tcPr>
            <w:tcW w:w="240" w:type="dxa"/>
            <w:vAlign w:val="bottom"/>
          </w:tcPr>
          <w:p>
            <w:pPr>
              <w:spacing w:after="0"/>
              <w:rPr>
                <w:sz w:val="9"/>
                <w:szCs w:val="9"/>
                <w:color w:val="auto"/>
              </w:rPr>
            </w:pPr>
          </w:p>
        </w:tc>
        <w:tc>
          <w:tcPr>
            <w:tcW w:w="12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220" w:type="dxa"/>
            <w:vAlign w:val="bottom"/>
          </w:tcPr>
          <w:p>
            <w:pPr>
              <w:spacing w:after="0"/>
              <w:rPr>
                <w:sz w:val="9"/>
                <w:szCs w:val="9"/>
                <w:color w:val="auto"/>
              </w:rPr>
            </w:pPr>
          </w:p>
        </w:tc>
        <w:tc>
          <w:tcPr>
            <w:tcW w:w="1060" w:type="dxa"/>
            <w:vAlign w:val="bottom"/>
            <w:gridSpan w:val="2"/>
          </w:tcPr>
          <w:p>
            <w:pPr>
              <w:ind w:left="200"/>
              <w:spacing w:after="0" w:line="108" w:lineRule="exact"/>
              <w:rPr>
                <w:sz w:val="20"/>
                <w:szCs w:val="20"/>
                <w:color w:val="auto"/>
              </w:rPr>
            </w:pPr>
            <w:r>
              <w:rPr>
                <w:rFonts w:ascii="Times New Roman" w:cs="Times New Roman" w:eastAsia="Times New Roman" w:hAnsi="Times New Roman"/>
                <w:sz w:val="11"/>
                <w:szCs w:val="11"/>
                <w:b w:val="1"/>
                <w:bCs w:val="1"/>
                <w:color w:val="auto"/>
              </w:rPr>
              <w:t>Linked</w:t>
            </w:r>
          </w:p>
        </w:tc>
        <w:tc>
          <w:tcPr>
            <w:tcW w:w="1280" w:type="dxa"/>
            <w:vAlign w:val="bottom"/>
          </w:tcPr>
          <w:p>
            <w:pPr>
              <w:ind w:left="480"/>
              <w:spacing w:after="0" w:line="108" w:lineRule="exact"/>
              <w:rPr>
                <w:sz w:val="20"/>
                <w:szCs w:val="20"/>
                <w:color w:val="auto"/>
              </w:rPr>
            </w:pPr>
            <w:r>
              <w:rPr>
                <w:rFonts w:ascii="Times New Roman" w:cs="Times New Roman" w:eastAsia="Times New Roman" w:hAnsi="Times New Roman"/>
                <w:sz w:val="11"/>
                <w:szCs w:val="11"/>
                <w:b w:val="1"/>
                <w:bCs w:val="1"/>
                <w:color w:val="auto"/>
              </w:rPr>
              <w:t>Linked</w:t>
            </w:r>
          </w:p>
        </w:tc>
      </w:tr>
      <w:tr>
        <w:trPr>
          <w:trHeight w:val="143"/>
        </w:trPr>
        <w:tc>
          <w:tcPr>
            <w:tcW w:w="4240" w:type="dxa"/>
            <w:vAlign w:val="bottom"/>
          </w:tcPr>
          <w:p>
            <w:pPr>
              <w:spacing w:after="0"/>
              <w:rPr>
                <w:sz w:val="20"/>
                <w:szCs w:val="20"/>
                <w:color w:val="auto"/>
              </w:rPr>
            </w:pPr>
            <w:r>
              <w:rPr>
                <w:rFonts w:ascii="Times New Roman" w:cs="Times New Roman" w:eastAsia="Times New Roman" w:hAnsi="Times New Roman"/>
                <w:sz w:val="10"/>
                <w:szCs w:val="10"/>
                <w:color w:val="auto"/>
              </w:rPr>
              <w:t>(Dollars in thousands, unaudited)</w:t>
            </w:r>
          </w:p>
        </w:tc>
        <w:tc>
          <w:tcPr>
            <w:tcW w:w="220" w:type="dxa"/>
            <w:vAlign w:val="bottom"/>
          </w:tcPr>
          <w:p>
            <w:pPr>
              <w:spacing w:after="0"/>
              <w:rPr>
                <w:sz w:val="12"/>
                <w:szCs w:val="12"/>
                <w:color w:val="auto"/>
              </w:rPr>
            </w:pPr>
          </w:p>
        </w:tc>
        <w:tc>
          <w:tcPr>
            <w:tcW w:w="1200" w:type="dxa"/>
            <w:vAlign w:val="bottom"/>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right="206"/>
              <w:spacing w:after="0"/>
              <w:rPr>
                <w:sz w:val="20"/>
                <w:szCs w:val="20"/>
                <w:color w:val="auto"/>
              </w:rPr>
            </w:pPr>
            <w:r>
              <w:rPr>
                <w:rFonts w:ascii="Times New Roman" w:cs="Times New Roman" w:eastAsia="Times New Roman" w:hAnsi="Times New Roman"/>
                <w:sz w:val="11"/>
                <w:szCs w:val="11"/>
                <w:b w:val="1"/>
                <w:bCs w:val="1"/>
                <w:color w:val="auto"/>
                <w:w w:val="90"/>
              </w:rPr>
              <w:t>2026</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28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Quarter</w:t>
            </w:r>
          </w:p>
        </w:tc>
      </w:tr>
      <w:tr>
        <w:trPr>
          <w:trHeight w:val="143"/>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LHFI</w:t>
            </w: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8,094,172</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8,073,577</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7,537,099</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20,595</w:t>
            </w:r>
          </w:p>
        </w:tc>
        <w:tc>
          <w:tcPr>
            <w:tcW w:w="10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0.3 %</w:t>
            </w:r>
          </w:p>
        </w:tc>
      </w:tr>
      <w:tr>
        <w:trPr>
          <w:trHeight w:val="151"/>
        </w:trPr>
        <w:tc>
          <w:tcPr>
            <w:tcW w:w="4240" w:type="dxa"/>
            <w:vAlign w:val="bottom"/>
          </w:tcPr>
          <w:p>
            <w:pPr>
              <w:spacing w:after="0"/>
              <w:rPr>
                <w:sz w:val="20"/>
                <w:szCs w:val="20"/>
                <w:color w:val="auto"/>
              </w:rPr>
            </w:pPr>
            <w:r>
              <w:rPr>
                <w:rFonts w:ascii="Times New Roman" w:cs="Times New Roman" w:eastAsia="Times New Roman" w:hAnsi="Times New Roman"/>
                <w:sz w:val="11"/>
                <w:szCs w:val="11"/>
                <w:color w:val="auto"/>
              </w:rPr>
              <w:t>Average total LHFI</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8,059,674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7,954,669</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7,523,624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105,005</w:t>
            </w:r>
          </w:p>
        </w:tc>
        <w:tc>
          <w:tcPr>
            <w:tcW w:w="100" w:type="dxa"/>
            <w:vAlign w:val="bottom"/>
          </w:tcPr>
          <w:p>
            <w:pPr>
              <w:spacing w:after="0"/>
              <w:rPr>
                <w:sz w:val="13"/>
                <w:szCs w:val="13"/>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1.3</w:t>
            </w:r>
          </w:p>
        </w:tc>
      </w:tr>
      <w:tr>
        <w:trPr>
          <w:trHeight w:val="15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securities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1,145,994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1,158,652</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1,121,551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(12,658)</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r>
      <w:tr>
        <w:trPr>
          <w:trHeight w:val="151"/>
        </w:trPr>
        <w:tc>
          <w:tcPr>
            <w:tcW w:w="4240" w:type="dxa"/>
            <w:vAlign w:val="bottom"/>
          </w:tcPr>
          <w:p>
            <w:pPr>
              <w:spacing w:after="0"/>
              <w:rPr>
                <w:sz w:val="20"/>
                <w:szCs w:val="20"/>
                <w:color w:val="auto"/>
              </w:rPr>
            </w:pPr>
            <w:r>
              <w:rPr>
                <w:rFonts w:ascii="Times New Roman" w:cs="Times New Roman" w:eastAsia="Times New Roman" w:hAnsi="Times New Roman"/>
                <w:sz w:val="11"/>
                <w:szCs w:val="11"/>
                <w:color w:val="auto"/>
              </w:rPr>
              <w:t>Average total securities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1,165,465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1,178,329</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1,127,809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(12,864)</w:t>
            </w:r>
          </w:p>
        </w:tc>
        <w:tc>
          <w:tcPr>
            <w:tcW w:w="100" w:type="dxa"/>
            <w:vAlign w:val="bottom"/>
          </w:tcPr>
          <w:p>
            <w:pPr>
              <w:spacing w:after="0"/>
              <w:rPr>
                <w:sz w:val="13"/>
                <w:szCs w:val="13"/>
                <w:color w:val="auto"/>
              </w:rPr>
            </w:pPr>
          </w:p>
        </w:tc>
        <w:tc>
          <w:tcPr>
            <w:tcW w:w="1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r>
      <w:tr>
        <w:trPr>
          <w:trHeight w:val="15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deposits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8,673,174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8,703,251</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8,331,830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(30,077)</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(0.3)</w:t>
            </w:r>
          </w:p>
        </w:tc>
      </w:tr>
      <w:tr>
        <w:trPr>
          <w:trHeight w:val="151"/>
        </w:trPr>
        <w:tc>
          <w:tcPr>
            <w:tcW w:w="4240" w:type="dxa"/>
            <w:vAlign w:val="bottom"/>
          </w:tcPr>
          <w:p>
            <w:pPr>
              <w:spacing w:after="0"/>
              <w:rPr>
                <w:sz w:val="20"/>
                <w:szCs w:val="20"/>
                <w:color w:val="auto"/>
              </w:rPr>
            </w:pPr>
            <w:r>
              <w:rPr>
                <w:rFonts w:ascii="Times New Roman" w:cs="Times New Roman" w:eastAsia="Times New Roman" w:hAnsi="Times New Roman"/>
                <w:sz w:val="11"/>
                <w:szCs w:val="11"/>
                <w:color w:val="auto"/>
              </w:rPr>
              <w:t>Average total deposits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8,684,836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8,463,422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8,232,260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221,414</w:t>
            </w:r>
          </w:p>
        </w:tc>
        <w:tc>
          <w:tcPr>
            <w:tcW w:w="100" w:type="dxa"/>
            <w:vAlign w:val="bottom"/>
          </w:tcPr>
          <w:p>
            <w:pPr>
              <w:spacing w:after="0"/>
              <w:rPr>
                <w:sz w:val="13"/>
                <w:szCs w:val="13"/>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2.6</w:t>
            </w:r>
          </w:p>
        </w:tc>
      </w:tr>
      <w:tr>
        <w:trPr>
          <w:trHeight w:val="15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borrowings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15,377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136,878</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12,790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(121,501)</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(88.8)</w:t>
            </w:r>
          </w:p>
        </w:tc>
      </w:tr>
      <w:tr>
        <w:trPr>
          <w:trHeight w:val="151"/>
        </w:trPr>
        <w:tc>
          <w:tcPr>
            <w:tcW w:w="4240" w:type="dxa"/>
            <w:vAlign w:val="bottom"/>
          </w:tcPr>
          <w:p>
            <w:pPr>
              <w:spacing w:after="0"/>
              <w:rPr>
                <w:sz w:val="20"/>
                <w:szCs w:val="20"/>
                <w:color w:val="auto"/>
              </w:rPr>
            </w:pPr>
            <w:r>
              <w:rPr>
                <w:rFonts w:ascii="Times New Roman" w:cs="Times New Roman" w:eastAsia="Times New Roman" w:hAnsi="Times New Roman"/>
                <w:sz w:val="11"/>
                <w:szCs w:val="11"/>
                <w:color w:val="auto"/>
              </w:rPr>
              <w:t>Average borrowings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57,246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140,897</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30,702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(83,651)</w:t>
            </w:r>
          </w:p>
        </w:tc>
        <w:tc>
          <w:tcPr>
            <w:tcW w:w="100" w:type="dxa"/>
            <w:vAlign w:val="bottom"/>
          </w:tcPr>
          <w:p>
            <w:pPr>
              <w:spacing w:after="0"/>
              <w:rPr>
                <w:sz w:val="13"/>
                <w:szCs w:val="13"/>
                <w:color w:val="auto"/>
              </w:rPr>
            </w:pPr>
          </w:p>
        </w:tc>
        <w:tc>
          <w:tcPr>
            <w:tcW w:w="1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(59.4)</w:t>
            </w:r>
          </w:p>
        </w:tc>
      </w:tr>
      <w:tr>
        <w:trPr>
          <w:trHeight w:val="15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subordinated indebtedness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16,619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16,594</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89,715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0.2</w:t>
            </w:r>
          </w:p>
        </w:tc>
      </w:tr>
      <w:tr>
        <w:trPr>
          <w:trHeight w:val="151"/>
        </w:trPr>
        <w:tc>
          <w:tcPr>
            <w:tcW w:w="4240" w:type="dxa"/>
            <w:vAlign w:val="bottom"/>
          </w:tcPr>
          <w:p>
            <w:pPr>
              <w:spacing w:after="0"/>
              <w:rPr>
                <w:sz w:val="20"/>
                <w:szCs w:val="20"/>
                <w:color w:val="auto"/>
              </w:rPr>
            </w:pPr>
            <w:r>
              <w:rPr>
                <w:rFonts w:ascii="Times New Roman" w:cs="Times New Roman" w:eastAsia="Times New Roman" w:hAnsi="Times New Roman"/>
                <w:sz w:val="11"/>
                <w:szCs w:val="11"/>
                <w:color w:val="auto"/>
              </w:rPr>
              <w:t>Average total subordinated indebtedness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16,608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89,692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0.2</w:t>
            </w:r>
          </w:p>
        </w:tc>
      </w:tr>
      <w:tr>
        <w:trPr>
          <w:trHeight w:val="15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shareholders’ equity</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1,263,687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1,281,057</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1,214,756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(17,370)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r>
      <w:tr>
        <w:trPr>
          <w:trHeight w:val="149"/>
        </w:trPr>
        <w:tc>
          <w:tcPr>
            <w:tcW w:w="4240" w:type="dxa"/>
            <w:vAlign w:val="bottom"/>
          </w:tcPr>
          <w:p>
            <w:pPr>
              <w:spacing w:after="0"/>
              <w:rPr>
                <w:sz w:val="20"/>
                <w:szCs w:val="20"/>
                <w:color w:val="auto"/>
              </w:rPr>
            </w:pPr>
            <w:r>
              <w:rPr>
                <w:rFonts w:ascii="Times New Roman" w:cs="Times New Roman" w:eastAsia="Times New Roman" w:hAnsi="Times New Roman"/>
                <w:sz w:val="11"/>
                <w:szCs w:val="11"/>
                <w:color w:val="auto"/>
              </w:rPr>
              <w:t>Average total shareholders’ equity</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1,287,795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1,275,384</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1,227,431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12,411</w:t>
            </w:r>
          </w:p>
        </w:tc>
        <w:tc>
          <w:tcPr>
            <w:tcW w:w="100" w:type="dxa"/>
            <w:vAlign w:val="bottom"/>
          </w:tcPr>
          <w:p>
            <w:pPr>
              <w:spacing w:after="0"/>
              <w:rPr>
                <w:sz w:val="12"/>
                <w:szCs w:val="12"/>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1.0</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Loans</w:t>
      </w:r>
    </w:p>
    <w:p>
      <w:pPr>
        <w:spacing w:after="0" w:line="116" w:lineRule="exact"/>
        <w:rPr>
          <w:sz w:val="20"/>
          <w:szCs w:val="20"/>
          <w:color w:val="auto"/>
        </w:rPr>
      </w:pPr>
    </w:p>
    <w:p>
      <w:pPr>
        <w:ind w:left="420" w:right="560" w:hanging="212"/>
        <w:spacing w:after="0" w:line="256" w:lineRule="auto"/>
        <w:tabs>
          <w:tab w:leader="none" w:pos="417" w:val="left"/>
        </w:tabs>
        <w:numPr>
          <w:ilvl w:val="0"/>
          <w:numId w:val="7"/>
        </w:numPr>
        <w:rPr>
          <w:rFonts w:ascii="Times New Roman" w:cs="Times New Roman" w:eastAsia="Times New Roman" w:hAnsi="Times New Roman"/>
          <w:sz w:val="12"/>
          <w:szCs w:val="12"/>
          <w:color w:val="002069"/>
        </w:rPr>
      </w:pPr>
      <w:r>
        <w:rPr>
          <w:rFonts w:ascii="Times New Roman" w:cs="Times New Roman" w:eastAsia="Times New Roman" w:hAnsi="Times New Roman"/>
          <w:sz w:val="12"/>
          <w:szCs w:val="12"/>
          <w:color w:val="auto"/>
        </w:rPr>
        <w:t>Excluding mortgage warehouse lines of credit, LHFI increased $170.6 million, or 2.3%, from June 30, 2026. The increase was primarily driven by increases of $78.1 million, $66.8 million, and $24.0 million in construction/land/land development, owner-occupied commercial real estate loans and non-owner-occupied commercial real estate, respectively. These increases were partially offset by a decrease of $19.1 million in commercial and industrial loans.</w:t>
      </w:r>
    </w:p>
    <w:p>
      <w:pPr>
        <w:spacing w:after="0" w:line="1" w:lineRule="exact"/>
        <w:rPr>
          <w:rFonts w:ascii="Times New Roman" w:cs="Times New Roman" w:eastAsia="Times New Roman" w:hAnsi="Times New Roman"/>
          <w:sz w:val="12"/>
          <w:szCs w:val="12"/>
          <w:color w:val="002069"/>
        </w:rPr>
      </w:pPr>
    </w:p>
    <w:p>
      <w:pPr>
        <w:ind w:left="420" w:right="60" w:hanging="212"/>
        <w:spacing w:after="0" w:line="260"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Mortgage warehouse lines of credit at September 30, 2026, were $439.7 million, a decrease of $150.0 million, or 25.4%, from $589.7 million at June 30, 2026, and a decrease of $33.3 million, or 7.0%, compared to September 30,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Securities</w:t>
      </w:r>
    </w:p>
    <w:p>
      <w:pPr>
        <w:spacing w:after="0" w:line="116" w:lineRule="exact"/>
        <w:rPr>
          <w:sz w:val="20"/>
          <w:szCs w:val="20"/>
          <w:color w:val="auto"/>
        </w:rPr>
      </w:pPr>
    </w:p>
    <w:p>
      <w:pPr>
        <w:ind w:left="420" w:right="40" w:hanging="212"/>
        <w:spacing w:after="0" w:line="259" w:lineRule="auto"/>
        <w:tabs>
          <w:tab w:leader="none" w:pos="413" w:val="left"/>
        </w:tabs>
        <w:numPr>
          <w:ilvl w:val="0"/>
          <w:numId w:val="8"/>
        </w:numPr>
        <w:rPr>
          <w:rFonts w:ascii="Times New Roman" w:cs="Times New Roman" w:eastAsia="Times New Roman" w:hAnsi="Times New Roman"/>
          <w:sz w:val="11"/>
          <w:szCs w:val="11"/>
          <w:b w:val="1"/>
          <w:bCs w:val="1"/>
          <w:i w:val="1"/>
          <w:iCs w:val="1"/>
          <w:color w:val="002069"/>
        </w:rPr>
      </w:pPr>
      <w:r>
        <w:rPr>
          <w:rFonts w:ascii="Times New Roman" w:cs="Times New Roman" w:eastAsia="Times New Roman" w:hAnsi="Times New Roman"/>
          <w:sz w:val="12"/>
          <w:szCs w:val="12"/>
          <w:color w:val="auto"/>
        </w:rPr>
        <w:t>Accumulated other comprehensive loss, net of taxes, primarily associated with unrealized losses within the available for sale portfolio, was $96.4 million at September 30, 2026, an increase of $35.6 million, or 58.5%, from the linked quarter and an increase of $35.2 million, or 57.6% from September 30, 2025.</w:t>
      </w:r>
    </w:p>
    <w:p>
      <w:pPr>
        <w:spacing w:after="0" w:line="1" w:lineRule="exact"/>
        <w:rPr>
          <w:rFonts w:ascii="Times New Roman" w:cs="Times New Roman" w:eastAsia="Times New Roman" w:hAnsi="Times New Roman"/>
          <w:sz w:val="11"/>
          <w:szCs w:val="11"/>
          <w:b w:val="1"/>
          <w:bCs w:val="1"/>
          <w:i w:val="1"/>
          <w:iCs w:val="1"/>
          <w:color w:val="002069"/>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weighted average effective duration for the total securities portfolio was 4.65 years as of September 30, 2026, compared to 4.08 years as of June 30, 2026.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Deposits</w:t>
      </w:r>
    </w:p>
    <w:p>
      <w:pPr>
        <w:spacing w:after="0" w:line="116" w:lineRule="exact"/>
        <w:rPr>
          <w:sz w:val="20"/>
          <w:szCs w:val="20"/>
          <w:color w:val="auto"/>
        </w:rPr>
      </w:pPr>
    </w:p>
    <w:p>
      <w:pPr>
        <w:ind w:left="420" w:right="60" w:hanging="212"/>
        <w:spacing w:after="0" w:line="259" w:lineRule="auto"/>
        <w:tabs>
          <w:tab w:leader="none" w:pos="41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increase in average deposits for the current quarter compared to linked quarter was primarily due to increases of $217.0 million and $80.0 million in money market and noninterest-bearing deposits, respectively. Offsetting these increases was a decrease of $79.9 million in average interest-bearing demand deposits.</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September 30, 2026, June 30, 2026, and September 30, 2025, average noninterest-bearing deposits as a percentage of average total deposits were 24.9%, 24.6% and 23.1%,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Borrowings</w:t>
      </w:r>
    </w:p>
    <w:p>
      <w:pPr>
        <w:spacing w:after="0" w:line="116" w:lineRule="exact"/>
        <w:rPr>
          <w:sz w:val="20"/>
          <w:szCs w:val="20"/>
          <w:color w:val="auto"/>
        </w:rPr>
      </w:pPr>
    </w:p>
    <w:p>
      <w:pPr>
        <w:ind w:left="420" w:right="20" w:hanging="212"/>
        <w:spacing w:after="0" w:line="279" w:lineRule="auto"/>
        <w:tabs>
          <w:tab w:leader="none" w:pos="41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decrease in the current quarter borrowings compared to the linked quarter primarily reflects lower FHLB short-term borrowings as the linked quarter included $125.0 million of additional borrowings used primarily to meet seasonal liquidity needs.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Subordinate debentures</w:t>
      </w:r>
    </w:p>
    <w:p>
      <w:pPr>
        <w:spacing w:after="0" w:line="116" w:lineRule="exact"/>
        <w:rPr>
          <w:sz w:val="20"/>
          <w:szCs w:val="20"/>
          <w:color w:val="auto"/>
        </w:rPr>
      </w:pPr>
    </w:p>
    <w:p>
      <w:pPr>
        <w:ind w:left="420" w:right="200" w:hanging="212"/>
        <w:spacing w:after="0" w:line="279" w:lineRule="auto"/>
        <w:tabs>
          <w:tab w:leader="none" w:pos="41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Total subordinated debentures at September 30, 2026, compared to September 30, 2025, declined primarily due to the redemption of $74.0 million in subordinated debentures during the quarter ended December 31, 2025, in conjunction with our </w:t>
      </w:r>
      <w:r>
        <w:rPr>
          <w:rFonts w:ascii="Times New Roman" w:cs="Times New Roman" w:eastAsia="Times New Roman" w:hAnsi="Times New Roman"/>
          <w:sz w:val="12"/>
          <w:szCs w:val="12"/>
          <w:i w:val="1"/>
          <w:iCs w:val="1"/>
          <w:color w:val="auto"/>
        </w:rPr>
        <w:t>Optimize Origin</w:t>
      </w:r>
      <w:r>
        <w:rPr>
          <w:rFonts w:ascii="Times New Roman" w:cs="Times New Roman" w:eastAsia="Times New Roman" w:hAnsi="Times New Roman"/>
          <w:sz w:val="12"/>
          <w:szCs w:val="12"/>
          <w:color w:val="auto"/>
        </w:rPr>
        <w:t xml:space="preserve"> initiative.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935"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i w:val="1"/>
          <w:iCs w:val="1"/>
          <w:color w:val="auto"/>
        </w:rPr>
        <w:t>Capital</w:t>
      </w:r>
    </w:p>
    <w:p>
      <w:pPr>
        <w:spacing w:after="0" w:line="116" w:lineRule="exact"/>
        <w:rPr>
          <w:sz w:val="20"/>
          <w:szCs w:val="20"/>
          <w:color w:val="auto"/>
        </w:rPr>
      </w:pPr>
    </w:p>
    <w:p>
      <w:pPr>
        <w:ind w:left="420" w:right="120" w:hanging="212"/>
        <w:spacing w:after="0" w:line="259" w:lineRule="auto"/>
        <w:tabs>
          <w:tab w:leader="none" w:pos="417" w:val="left"/>
        </w:tabs>
        <w:numPr>
          <w:ilvl w:val="0"/>
          <w:numId w:val="1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decrease in shareholder’s equity at September 30, 2026, compared to the linked quarter was mainly due to $35.6 million of other comprehensive loss, net of tax, as well as $14.8 million in common share repurchases and $7.9 million of dividends declared, partially offset by net income of $37.8 million during the quarter ended September 30, 2026.</w:t>
      </w:r>
    </w:p>
    <w:p>
      <w:pPr>
        <w:spacing w:after="0" w:line="1"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Uses of regulatory capital since the beginning of 2025 consist of the following:</w:t>
      </w:r>
    </w:p>
    <w:p>
      <w:pPr>
        <w:spacing w:after="0" w:line="6" w:lineRule="exact"/>
        <w:rPr>
          <w:rFonts w:ascii="Times New Roman" w:cs="Times New Roman" w:eastAsia="Times New Roman" w:hAnsi="Times New Roman"/>
          <w:sz w:val="12"/>
          <w:szCs w:val="12"/>
          <w:color w:val="auto"/>
        </w:rPr>
      </w:pPr>
    </w:p>
    <w:p>
      <w:pPr>
        <w:ind w:left="640" w:right="240" w:hanging="216"/>
        <w:spacing w:after="0" w:line="250" w:lineRule="auto"/>
        <w:tabs>
          <w:tab w:leader="none" w:pos="637" w:val="left"/>
        </w:tabs>
        <w:numPr>
          <w:ilvl w:val="1"/>
          <w:numId w:val="1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Repurchased 1,106,466 shares of our common stock at an average price of $42.97 per share, for a total of $47.5 million, including commissions and applicable excise taxes. There is currently $106.8 million remaining available for share repurchases under the share repurchase program.</w:t>
      </w:r>
    </w:p>
    <w:p>
      <w:pPr>
        <w:ind w:left="640" w:hanging="216"/>
        <w:spacing w:after="0"/>
        <w:tabs>
          <w:tab w:leader="none" w:pos="640"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Redeemed $143.6 million of subordinated debentures, including the amortization of the original issue discount and fair value mark.</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Declared $39.4 million in dividends to our shareholders, excluding dividends declared in October 2026.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w:t>
      </w:r>
    </w:p>
    <w:p>
      <w:pPr>
        <w:spacing w:after="0" w:line="118" w:lineRule="exact"/>
        <w:rPr>
          <w:sz w:val="20"/>
          <w:szCs w:val="20"/>
          <w:color w:val="auto"/>
        </w:rPr>
      </w:pPr>
    </w:p>
    <w:p>
      <w:pPr>
        <w:jc w:val="both"/>
        <w:ind w:right="60" w:firstLine="432"/>
        <w:spacing w:after="0" w:line="265" w:lineRule="auto"/>
        <w:rPr>
          <w:sz w:val="20"/>
          <w:szCs w:val="20"/>
          <w:color w:val="auto"/>
        </w:rPr>
      </w:pPr>
      <w:r>
        <w:rPr>
          <w:rFonts w:ascii="Times New Roman" w:cs="Times New Roman" w:eastAsia="Times New Roman" w:hAnsi="Times New Roman"/>
          <w:sz w:val="12"/>
          <w:szCs w:val="12"/>
          <w:color w:val="auto"/>
        </w:rPr>
        <w:t xml:space="preserve">Origin will hold a conference call to discuss its third quarter 2026 results on Thursday, October 29, 2026, at 8:00 a.m. Central Time (9:00 a.m. Eastern Time). To participate in the live conference call, please dial +1 (929) 272-1574 (U.S. Local / International 1); +1 (857) 999-3259 (U.S. Local / International 2); +1 (888) 700-7550 (U.S. Toll Free), enter Conference ID: 40835 and request to be joined into the Origin Bancorp, Inc. (OBK) call. A simultaneous audio-only webcast may be accessed via Origin’s website at </w:t>
      </w:r>
      <w:r>
        <w:rPr>
          <w:rFonts w:ascii="Times New Roman" w:cs="Times New Roman" w:eastAsia="Times New Roman" w:hAnsi="Times New Roman"/>
          <w:sz w:val="12"/>
          <w:szCs w:val="12"/>
          <w:u w:val="single" w:color="auto"/>
          <w:color w:val="auto"/>
        </w:rPr>
        <w:t>www.origin.bank</w:t>
      </w:r>
      <w:r>
        <w:rPr>
          <w:rFonts w:ascii="Times New Roman" w:cs="Times New Roman" w:eastAsia="Times New Roman" w:hAnsi="Times New Roman"/>
          <w:sz w:val="12"/>
          <w:szCs w:val="12"/>
          <w:color w:val="auto"/>
        </w:rPr>
        <w:t xml:space="preserve"> under the Investor Relations, News &amp; Events, Events &amp; Presentations link or directly by visiting </w:t>
      </w:r>
      <w:r>
        <w:rPr>
          <w:rFonts w:ascii="Times New Roman" w:cs="Times New Roman" w:eastAsia="Times New Roman" w:hAnsi="Times New Roman"/>
          <w:sz w:val="12"/>
          <w:szCs w:val="12"/>
          <w:u w:val="single" w:color="auto"/>
          <w:color w:val="auto"/>
        </w:rPr>
        <w:t>https://dealroadshow.com/e/ORIGIN3Q26</w:t>
      </w:r>
      <w:r>
        <w:rPr>
          <w:rFonts w:ascii="Times New Roman" w:cs="Times New Roman" w:eastAsia="Times New Roman" w:hAnsi="Times New Roman"/>
          <w:sz w:val="12"/>
          <w:szCs w:val="12"/>
          <w:color w:val="auto"/>
        </w:rPr>
        <w:t>.</w:t>
      </w:r>
    </w:p>
    <w:p>
      <w:pPr>
        <w:spacing w:after="0" w:line="83" w:lineRule="exact"/>
        <w:rPr>
          <w:sz w:val="20"/>
          <w:szCs w:val="20"/>
          <w:color w:val="auto"/>
        </w:rPr>
      </w:pPr>
    </w:p>
    <w:p>
      <w:pPr>
        <w:ind w:right="20" w:firstLine="432"/>
        <w:spacing w:after="0" w:line="438" w:lineRule="auto"/>
        <w:rPr>
          <w:sz w:val="20"/>
          <w:szCs w:val="20"/>
          <w:color w:val="auto"/>
        </w:rPr>
      </w:pPr>
      <w:r>
        <w:rPr>
          <w:rFonts w:ascii="Times New Roman" w:cs="Times New Roman" w:eastAsia="Times New Roman" w:hAnsi="Times New Roman"/>
          <w:sz w:val="12"/>
          <w:szCs w:val="12"/>
          <w:color w:val="auto"/>
        </w:rPr>
        <w:t xml:space="preserve">If you are unable to participate during the live webcast, the webcast will be archived on the Investor Relations section of Origin’s website at </w:t>
      </w:r>
      <w:r>
        <w:rPr>
          <w:rFonts w:ascii="Times New Roman" w:cs="Times New Roman" w:eastAsia="Times New Roman" w:hAnsi="Times New Roman"/>
          <w:sz w:val="12"/>
          <w:szCs w:val="12"/>
          <w:u w:val="single" w:color="auto"/>
          <w:color w:val="auto"/>
        </w:rPr>
        <w:t>www.origin.bank</w:t>
      </w:r>
      <w:r>
        <w:rPr>
          <w:rFonts w:ascii="Times New Roman" w:cs="Times New Roman" w:eastAsia="Times New Roman" w:hAnsi="Times New Roman"/>
          <w:sz w:val="12"/>
          <w:szCs w:val="12"/>
          <w:color w:val="auto"/>
        </w:rPr>
        <w:t xml:space="preserve">, under Investor Relations, News &amp; Events, Events &amp; Presentations. </w:t>
      </w:r>
      <w:r>
        <w:rPr>
          <w:rFonts w:ascii="Times New Roman" w:cs="Times New Roman" w:eastAsia="Times New Roman" w:hAnsi="Times New Roman"/>
          <w:sz w:val="12"/>
          <w:szCs w:val="12"/>
          <w:b w:val="1"/>
          <w:bCs w:val="1"/>
          <w:color w:val="auto"/>
        </w:rPr>
        <w:t>About Origin</w:t>
      </w:r>
    </w:p>
    <w:p>
      <w:pPr>
        <w:ind w:firstLine="432"/>
        <w:spacing w:after="0" w:line="260" w:lineRule="auto"/>
        <w:rPr>
          <w:sz w:val="20"/>
          <w:szCs w:val="20"/>
          <w:color w:val="auto"/>
        </w:rPr>
      </w:pPr>
      <w:r>
        <w:rPr>
          <w:rFonts w:ascii="Times New Roman" w:cs="Times New Roman" w:eastAsia="Times New Roman" w:hAnsi="Times New Roman"/>
          <w:sz w:val="12"/>
          <w:szCs w:val="12"/>
          <w:color w:val="0A0A0A"/>
          <w:highlight w:val="white"/>
        </w:rPr>
        <w:t xml:space="preserve">Origin Bancorp, Inc. is </w:t>
      </w:r>
      <w:r>
        <w:rPr>
          <w:rFonts w:ascii="Times New Roman" w:cs="Times New Roman" w:eastAsia="Times New Roman" w:hAnsi="Times New Roman"/>
          <w:sz w:val="12"/>
          <w:szCs w:val="12"/>
          <w:color w:val="000000"/>
        </w:rPr>
        <w:t>a financial holding company headquartered in Ruston, Louisiana. Origin’s wholly owned bank subsidiary, Origin Bank, was founded in 1912 in Choudrant, Louisiana. Deeply rooted in Origin’s history is</w:t>
      </w:r>
      <w:r>
        <w:rPr>
          <w:rFonts w:ascii="Times New Roman" w:cs="Times New Roman" w:eastAsia="Times New Roman" w:hAnsi="Times New Roman"/>
          <w:sz w:val="12"/>
          <w:szCs w:val="12"/>
          <w:color w:val="0A0A0A"/>
          <w:highlight w:val="white"/>
        </w:rPr>
        <w:t xml:space="preserve"> </w:t>
      </w:r>
      <w:r>
        <w:rPr>
          <w:rFonts w:ascii="Times New Roman" w:cs="Times New Roman" w:eastAsia="Times New Roman" w:hAnsi="Times New Roman"/>
          <w:sz w:val="12"/>
          <w:szCs w:val="12"/>
          <w:color w:val="000000"/>
        </w:rPr>
        <w:t xml:space="preserve">a culture committed to providing personalized relationship banking to businesses, municipalities, and personal clients to enrich the lives of the people in the communities it serves. Origin provides a broad range of financial services and currently operates more than 57 locations in Dallas/Fort Worth, East Texas, Houston, North Louisiana, Mississippi, Alabama and the Florida Panhandle. In addition, Origin provides a broad range of insurance agency products and services through its wholly owned insurance agency subsidiary, Forth Insurance, LLC. For more information, visit </w:t>
      </w:r>
      <w:r>
        <w:rPr>
          <w:rFonts w:ascii="Times New Roman" w:cs="Times New Roman" w:eastAsia="Times New Roman" w:hAnsi="Times New Roman"/>
          <w:sz w:val="12"/>
          <w:szCs w:val="12"/>
          <w:u w:val="single" w:color="auto"/>
          <w:color w:val="000000"/>
        </w:rPr>
        <w:t>www.origin.bank</w:t>
      </w:r>
      <w:r>
        <w:rPr>
          <w:rFonts w:ascii="Times New Roman" w:cs="Times New Roman" w:eastAsia="Times New Roman" w:hAnsi="Times New Roman"/>
          <w:sz w:val="12"/>
          <w:szCs w:val="12"/>
          <w:color w:val="000000"/>
        </w:rPr>
        <w:t xml:space="preserve"> and </w:t>
      </w:r>
      <w:r>
        <w:rPr>
          <w:rFonts w:ascii="Times New Roman" w:cs="Times New Roman" w:eastAsia="Times New Roman" w:hAnsi="Times New Roman"/>
          <w:sz w:val="12"/>
          <w:szCs w:val="12"/>
          <w:u w:val="single" w:color="auto"/>
          <w:color w:val="000000"/>
        </w:rPr>
        <w:t>www.forthinsurance.com</w:t>
      </w:r>
      <w:r>
        <w:rPr>
          <w:rFonts w:ascii="Times New Roman" w:cs="Times New Roman" w:eastAsia="Times New Roman" w:hAnsi="Times New Roman"/>
          <w:sz w:val="12"/>
          <w:szCs w:val="12"/>
          <w:color w:val="000000"/>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09" w:lineRule="exact"/>
        <w:rPr>
          <w:sz w:val="20"/>
          <w:szCs w:val="20"/>
          <w:color w:val="auto"/>
        </w:rPr>
      </w:pPr>
    </w:p>
    <w:p>
      <w:pPr>
        <w:ind w:right="20" w:firstLine="432"/>
        <w:spacing w:after="0" w:line="244" w:lineRule="auto"/>
        <w:rPr>
          <w:sz w:val="20"/>
          <w:szCs w:val="20"/>
          <w:color w:val="auto"/>
        </w:rPr>
      </w:pPr>
      <w:r>
        <w:rPr>
          <w:rFonts w:ascii="Times New Roman" w:cs="Times New Roman" w:eastAsia="Times New Roman" w:hAnsi="Times New Roman"/>
          <w:sz w:val="12"/>
          <w:szCs w:val="12"/>
          <w:color w:val="auto"/>
        </w:rPr>
        <w:t>Origin reports its results in accordance with generally accepted accounting principles in the United States of America ("GAAP"). However, management believes that certain supplemental non-GAAP financial measures may provide meaningful information to investors that is useful in understanding Origin's results of operations and underlying trends in its business. These non-GAAP financial measures are supplemental and should be viewed in addition to, and not as an alternative for, Origin's reported results prepared in accordance with GAAP. The following are the non-GAAP measures used in this release: PTPP earnings, PTPP ROAA, tangible book value per common share, and ROATCE.</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Please see the last few pages of this release for reconciliations of non-GAAP measures to the most directly comparable financial measures calculated in accordance with GAAP.</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80"/>
          </w:cols>
          <w:pgMar w:left="300" w:top="829"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09" w:lineRule="exact"/>
        <w:rPr>
          <w:sz w:val="20"/>
          <w:szCs w:val="20"/>
          <w:color w:val="auto"/>
        </w:rPr>
      </w:pPr>
    </w:p>
    <w:p>
      <w:pPr>
        <w:ind w:firstLine="432"/>
        <w:spacing w:after="0" w:line="234" w:lineRule="auto"/>
        <w:rPr>
          <w:sz w:val="20"/>
          <w:szCs w:val="20"/>
          <w:color w:val="auto"/>
        </w:rPr>
      </w:pPr>
      <w:r>
        <w:rPr>
          <w:rFonts w:ascii="Times New Roman" w:cs="Times New Roman" w:eastAsia="Times New Roman" w:hAnsi="Times New Roman"/>
          <w:sz w:val="12"/>
          <w:szCs w:val="12"/>
          <w:color w:val="auto"/>
        </w:rPr>
        <w:t>This press release contains certain forward-looking statements within the meaning of the Private Securities Litigation Reform Act of 1995. Forward-looking statements include information regarding Origin Bancorp, Inc’s (“Origin”, “we”, “our” or the “Company”) future financial performance, business and growth strategies, projected plans and objectives, and any expected purchases of its outstanding common stock, and related transactions and other projections based on macroeconomic and industry trends, including changes to interest rates by the Federal Reserve and the resulting impact on Origin’s results of operations, estimated forbearance amounts and expectations regarding the Company’s liquidity, including in connection with advances obtained from the FHLB, which are all subject to change and may be inherently unreliable due to the multiple factors that impact broader economic and industry trends, and any such changes may be material. Such forward-looking statements are based on various facts and derived utilizing important assumptions and current expectations, estimates and projections about Origin and its subsidiaries, any of which may change over time and some of which may be beyond Origin’s control. Statements or statistics preceded by, followed by or that otherwise include the words “assumes,” “anticipates,” “believes,” “estimates,” “expects,” “foresees,” “intends,” “plans,” “projects,” and similar expressions or future or conditional verbs such as “could,” “may,” “might,” “should,” “will,” and “would” and variations of such terms are generally forward-looking in nature and not historical facts, although not all forward-looking statements include the foregoing words. Further, certain factors that could affect Origin’s future results and cause actual results to differ materially from those expressed in the forward-looking statements include, but are not limited to: (1) the impact of current and future economic conditions generally and in the financial services industry, nationally and within Origin’s primary market areas, including the impact of tariffs, as well as the financial stress on borrowers and changes to customer and client behavior as a result of the foregoing; (2) changes in benchmark interest rates and the resulting impacts on net interest income; (3) deterioration of Origin’s asset quality; (4) factors that can impact the performance of Origin’s loan portfolio, including real estate values and liquidity in Origin’s primary market areas; (5) the financial health of Origin’s commercial borrowers and the success of construction projects that Origin finances; (6) changes in the value of collateral securing Origin’s loans; (7) the impact of generative artificial intelligence; (8) Origin’s ability to anticipate interest rate changes and manage interest rate risk; (9) the impact of heightened regulatory requirements, reduced debit interchange and overdraft income and the possibility of facing related adverse business consequences if our total assets grow in excess of $10 billion as of December 31 of any calendar year; (10) the effectiveness of Origin’s risk management framework and quantitative models; (11) Origin’s inability to receive dividends from Origin Bank and to service debt, pay dividends to Origin’s common shareholders, repurchase Origin’s shares of common stock and satisfy obligations as they become due; (12) the impact of labor pressures; (13) changes in Origin’s operation or expansion strategy or Origin’s ability to prudently manage its growth and execute its strategy; (14) changes in management personnel; (15) Origin’s ability to maintain important customer relationships, reputation or otherwise avoid liquidity risks; (16) increasing costs as Origin grows deposits; (17) operational risks associated with Origin’s business; (18) significant turbulence or a disruption in the capital or financial markets and the effect of market disruption and interest rate volatility on our investment securities; (19) increased competition in the financial services industry, particularly from regional and national institutions, as well as from fintech companies; (20) compliance with governmental and regulatory requirements and changes in laws, rules, regulations, interpretations or policies relating to financial institutions; (21) periodic changes to the extensive body of accounting rules and best practices; (22) further government intervention in the U.S. financial system; (23) a deterioration of the credit rating for U.S. long-term sovereign debt; (24) Origin’s ability to comply with applicable capital and liquidity requirements, including its ability to generate liquidity internally or raise capital on favorable terms, including continued access to the debt and equity capital markets; (25) natural disasters and other adverse weather events, pandemics, acts of terrorism, war, and other matters beyond Origin’s control; (26) developments in our mortgage banking business, including loan modifications, general demand, and the effects of judicial or regulatory requirements or guidance; (27) fraud or misconduct by internal or external actors (including Origin employees); (28) cybersecurity threats or security breaches and the cost of defending against them; (29) Origin’s ability to maintain adequate internal controls over financial and non-financial reporting; and (30) potential claims, damages, penalties, fines, costs and reputational damage resulting from pending or future litigation, regulatory proceedings and enforcement actions. For a discussion of these and other risks that may cause actual results to differ from expectations, please refer to the sections titled “Cautionary Note Regarding Forward-Looking Statements” and “Risk Factors” in Origin’s most recent and future Annual Reports on Form 10-K filed with the Securities and Exchange Commission and any updates to those sections set forth in Origin’s subsequent Quarterly Reports on Form 10-Q and Current Reports on Form 8-K. If one or more events related to these or other risks or uncertainties materialize, or if Origin’s underlying assumptions prove to be incorrect, actual results may differ materially from what Origin anticipates. Accordingly, you should not place undue reliance on any forward-looking statements. Any forward-looking statement speaks only as of the date on which it is made, and Origin does not undertake any obligation to publicly update or review any forward-looking statement, whether as a result of new information, future developments or otherwise.</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40"/>
          </w:cols>
          <w:pgMar w:left="300" w:top="827" w:right="359" w:bottom="1440" w:gutter="0" w:footer="0" w:header="0"/>
        </w:sectPr>
      </w:pPr>
    </w:p>
    <w:bookmarkStart w:id="10" w:name="page11"/>
    <w:bookmarkEnd w:id="10"/>
    <w:p>
      <w:pPr>
        <w:ind w:right="40" w:firstLine="432"/>
        <w:spacing w:after="0" w:line="260" w:lineRule="auto"/>
        <w:rPr>
          <w:sz w:val="20"/>
          <w:szCs w:val="20"/>
          <w:color w:val="auto"/>
        </w:rPr>
      </w:pPr>
      <w:r>
        <w:rPr>
          <w:rFonts w:ascii="Times New Roman" w:cs="Times New Roman" w:eastAsia="Times New Roman" w:hAnsi="Times New Roman"/>
          <w:sz w:val="12"/>
          <w:szCs w:val="12"/>
          <w:color w:val="auto"/>
        </w:rPr>
        <w:t>New risks and uncertainties arise from time to time, and it is not possible for Origin to predict those events or how they may affect Origin. In addition, Origin cannot assess the impact of each factor on Origin’s business or the extent to which any factor, or combination of factors, may cause actual results to differ materially from those contained in any forward-looking statements. All forward-looking statements, expressed or implied, included in this communication are expressly qualified in their entirety by this cautionary statement. This cautionary statement should also be considered in connection with any subsequent written or oral forward-looking statements that Origin or persons acting on Origin’s behalf may issue. Annualized, pro forma, adjusted, projected, and estimated numbers are used for illustrative purposes only, are not forecasts, and may not reflect actual results.</w:t>
      </w:r>
    </w:p>
    <w:p>
      <w:pPr>
        <w:spacing w:after="0" w:line="77" w:lineRule="exact"/>
        <w:rPr>
          <w:sz w:val="20"/>
          <w:szCs w:val="20"/>
          <w:color w:val="auto"/>
        </w:rPr>
      </w:pPr>
    </w:p>
    <w:p>
      <w:pPr>
        <w:ind w:firstLine="432"/>
        <w:spacing w:after="0" w:line="242" w:lineRule="auto"/>
        <w:rPr>
          <w:sz w:val="20"/>
          <w:szCs w:val="20"/>
          <w:color w:val="auto"/>
        </w:rPr>
      </w:pPr>
      <w:r>
        <w:rPr>
          <w:rFonts w:ascii="Times New Roman" w:cs="Times New Roman" w:eastAsia="Times New Roman" w:hAnsi="Times New Roman"/>
          <w:sz w:val="12"/>
          <w:szCs w:val="12"/>
          <w:color w:val="auto"/>
        </w:rPr>
        <w:t>This press release contains projected financial information with respect to Origin, including with respect to certain goals and strategic initiatives of Origin and the anticipated benefits thereof. This projected financial information constitutes forward-looking information and is for illustrative purposes only and should not be relied upon as necessarily being indicative of future results. The assumptions and estimates underlying such projected financial information are inherently uncertain and are subject to significant business, economic (including interest rate), competitive, and other risks and uncertainties. Actual results may differ materially from the results contemplated by the projected financial information contained herein and the inclusion of such projected financial information in this release should not be regarded as a representation by any person that such actions will be taken or accomplished or that the results reflected in such projected financial information with respect thereto will be achieved.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 Reigelman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318-497-3177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chris@origin.bank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Media Contact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Ryan Kilpatrick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318-232-7472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rkilpatrick@origin.bank</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40"/>
          </w:cols>
          <w:pgMar w:left="300" w:top="831" w:right="359" w:bottom="1440" w:gutter="0" w:footer="0" w:header="0"/>
        </w:sectPr>
      </w:pPr>
    </w:p>
    <w:bookmarkStart w:id="11" w:name="page12"/>
    <w:bookmarkEnd w:id="1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Origin Bancorp,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Selected Quarterly Financial Data</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5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08"/>
        </w:trPr>
        <w:tc>
          <w:tcPr>
            <w:tcW w:w="3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280" w:type="dxa"/>
            <w:vAlign w:val="bottom"/>
          </w:tcPr>
          <w:p>
            <w:pPr>
              <w:spacing w:after="0"/>
              <w:rPr>
                <w:sz w:val="9"/>
                <w:szCs w:val="9"/>
                <w:color w:val="auto"/>
              </w:rPr>
            </w:pPr>
          </w:p>
        </w:tc>
        <w:tc>
          <w:tcPr>
            <w:tcW w:w="1200" w:type="dxa"/>
            <w:vAlign w:val="bottom"/>
            <w:gridSpan w:val="2"/>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40" w:type="dxa"/>
            <w:vAlign w:val="bottom"/>
          </w:tcPr>
          <w:p>
            <w:pPr>
              <w:spacing w:after="0"/>
              <w:rPr>
                <w:sz w:val="9"/>
                <w:szCs w:val="9"/>
                <w:color w:val="auto"/>
              </w:rPr>
            </w:pPr>
          </w:p>
        </w:tc>
        <w:tc>
          <w:tcPr>
            <w:tcW w:w="1360" w:type="dxa"/>
            <w:vAlign w:val="bottom"/>
            <w:gridSpan w:val="2"/>
          </w:tcPr>
          <w:p>
            <w:pPr>
              <w:ind w:left="320"/>
              <w:spacing w:after="0" w:line="108"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280" w:type="dxa"/>
            <w:vAlign w:val="bottom"/>
          </w:tcPr>
          <w:p>
            <w:pPr>
              <w:spacing w:after="0"/>
              <w:rPr>
                <w:sz w:val="9"/>
                <w:szCs w:val="9"/>
                <w:color w:val="auto"/>
              </w:rPr>
            </w:pPr>
          </w:p>
        </w:tc>
        <w:tc>
          <w:tcPr>
            <w:tcW w:w="122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Pr>
          <w:p>
            <w:pPr>
              <w:spacing w:after="0"/>
              <w:rPr>
                <w:sz w:val="9"/>
                <w:szCs w:val="9"/>
                <w:color w:val="auto"/>
              </w:rPr>
            </w:pPr>
          </w:p>
        </w:tc>
        <w:tc>
          <w:tcPr>
            <w:tcW w:w="1200" w:type="dxa"/>
            <w:vAlign w:val="bottom"/>
          </w:tcPr>
          <w:p>
            <w:pPr>
              <w:jc w:val="right"/>
              <w:ind w:right="326"/>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42"/>
        </w:trPr>
        <w:tc>
          <w:tcPr>
            <w:tcW w:w="3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9"/>
        </w:trPr>
        <w:tc>
          <w:tcPr>
            <w:tcW w:w="3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Income statement and share amounts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6"/>
          </w:tcPr>
          <w:p>
            <w:pPr>
              <w:jc w:val="center"/>
              <w:ind w:left="806"/>
              <w:spacing w:after="0"/>
              <w:rPr>
                <w:sz w:val="20"/>
                <w:szCs w:val="20"/>
                <w:color w:val="auto"/>
              </w:rPr>
            </w:pPr>
            <w:r>
              <w:rPr>
                <w:rFonts w:ascii="Times New Roman" w:cs="Times New Roman" w:eastAsia="Times New Roman" w:hAnsi="Times New Roman"/>
                <w:sz w:val="10"/>
                <w:szCs w:val="10"/>
                <w:color w:val="auto"/>
                <w:w w:val="96"/>
              </w:rPr>
              <w:t>(Dollars in thousands, except per share amounts)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interest income</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95,140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92,200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87,244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86,694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83,704</w:t>
            </w: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2,606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4,965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3,158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36,820</w:t>
            </w:r>
          </w:p>
        </w:tc>
      </w:tr>
      <w:tr>
        <w:trPr>
          <w:trHeight w:val="15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 income</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18,080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15,393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16,795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16,736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26,128</w:t>
            </w:r>
          </w:p>
        </w:tc>
      </w:tr>
      <w:tr>
        <w:trPr>
          <w:trHeight w:val="151"/>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62,489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64,412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63,797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62,823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62,028</w:t>
            </w:r>
          </w:p>
        </w:tc>
      </w:tr>
      <w:tr>
        <w:trPr>
          <w:trHeight w:val="14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 expense</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48,125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43,116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35,277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37,449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10,984</w:t>
            </w:r>
          </w:p>
        </w:tc>
      </w:tr>
      <w:tr>
        <w:trPr>
          <w:trHeight w:val="151"/>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10,347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9,270</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7,584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7,933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2,361</w:t>
            </w:r>
          </w:p>
        </w:tc>
      </w:tr>
      <w:tr>
        <w:trPr>
          <w:trHeight w:val="160"/>
        </w:trPr>
        <w:tc>
          <w:tcPr>
            <w:tcW w:w="38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37,778</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33,846</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27,693</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29,516</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8,623</w:t>
            </w:r>
          </w:p>
        </w:tc>
      </w:tr>
      <w:tr>
        <w:trPr>
          <w:trHeight w:val="153"/>
        </w:trPr>
        <w:tc>
          <w:tcPr>
            <w:tcW w:w="3880" w:type="dxa"/>
            <w:vAlign w:val="bottom"/>
          </w:tcPr>
          <w:p>
            <w:pPr>
              <w:spacing w:after="0" w:line="153" w:lineRule="exact"/>
              <w:rPr>
                <w:sz w:val="20"/>
                <w:szCs w:val="20"/>
                <w:color w:val="auto"/>
              </w:rPr>
            </w:pPr>
            <w:r>
              <w:rPr>
                <w:rFonts w:ascii="Times New Roman" w:cs="Times New Roman" w:eastAsia="Times New Roman" w:hAnsi="Times New Roman"/>
                <w:sz w:val="11"/>
                <w:szCs w:val="11"/>
                <w:color w:val="auto"/>
              </w:rPr>
              <w:t>PTPP earnings</w:t>
            </w:r>
            <w:r>
              <w:rPr>
                <w:rFonts w:ascii="Times New Roman" w:cs="Times New Roman" w:eastAsia="Times New Roman" w:hAnsi="Times New Roman"/>
                <w:sz w:val="14"/>
                <w:szCs w:val="14"/>
                <w:color w:val="auto"/>
                <w:vertAlign w:val="superscript"/>
              </w:rPr>
              <w:t>(1)</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50,731</w:t>
            </w:r>
          </w:p>
        </w:tc>
        <w:tc>
          <w:tcPr>
            <w:tcW w:w="10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43,181</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40,242</w:t>
            </w:r>
          </w:p>
        </w:tc>
        <w:tc>
          <w:tcPr>
            <w:tcW w:w="10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40,607</w:t>
            </w:r>
          </w:p>
        </w:tc>
        <w:tc>
          <w:tcPr>
            <w:tcW w:w="8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47,804</w:t>
            </w: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Basic earnings per common share</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0.89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0.95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0.28</w:t>
            </w: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Diluted earnings per common share</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0.89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0.95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0.27</w:t>
            </w:r>
          </w:p>
        </w:tc>
      </w:tr>
      <w:tr>
        <w:trPr>
          <w:trHeight w:val="15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declared per common share</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0.25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0.25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0.15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0.15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0.15</w:t>
            </w: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 - basic</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30,769,835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30,848,905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30,942,565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30,964,128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31,183,092</w:t>
            </w:r>
          </w:p>
        </w:tc>
      </w:tr>
      <w:tr>
        <w:trPr>
          <w:trHeight w:val="15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 - diluted</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31,081,681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31,157,927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31,203,348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31,168,548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31,363,571</w:t>
            </w:r>
          </w:p>
        </w:tc>
      </w:tr>
      <w:tr>
        <w:trPr>
          <w:trHeight w:val="72"/>
        </w:trPr>
        <w:tc>
          <w:tcPr>
            <w:tcW w:w="3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sheet data</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Total LHFI</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8,094,172</w:t>
            </w:r>
          </w:p>
        </w:tc>
        <w:tc>
          <w:tcPr>
            <w:tcW w:w="10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8,073,577</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7,864,221</w:t>
            </w:r>
          </w:p>
        </w:tc>
        <w:tc>
          <w:tcPr>
            <w:tcW w:w="10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7,670,917</w:t>
            </w:r>
          </w:p>
        </w:tc>
        <w:tc>
          <w:tcPr>
            <w:tcW w:w="8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7,537,099</w:t>
            </w:r>
          </w:p>
        </w:tc>
      </w:tr>
      <w:tr>
        <w:trPr>
          <w:trHeight w:val="15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LHFI excluding mortgage warehouse lines of credit</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7,654,495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7,483,871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7,341,931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7,142,136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7,064,131</w:t>
            </w: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10,105,114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10,276,930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10,188,144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9,724,722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9,791,306</w:t>
            </w:r>
          </w:p>
        </w:tc>
      </w:tr>
      <w:tr>
        <w:trPr>
          <w:trHeight w:val="15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deposits</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8,673,174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8,703,251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8,756,268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8,307,247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8,331,830</w:t>
            </w: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Total shareholders’ equity</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1,263,687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1,281,057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1,260,275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1,246,685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1,214,756</w:t>
            </w:r>
          </w:p>
        </w:tc>
      </w:tr>
      <w:tr>
        <w:trPr>
          <w:trHeight w:val="74"/>
        </w:trPr>
        <w:tc>
          <w:tcPr>
            <w:tcW w:w="3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Performance metrics and capital ratios</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Yield on LHFI</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6.17 %</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6.06 %</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6.22 %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6.33 %</w:t>
            </w: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Yield on interest-earning assets</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5.76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5.76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5.89</w:t>
            </w:r>
          </w:p>
        </w:tc>
      </w:tr>
      <w:tr>
        <w:trPr>
          <w:trHeight w:val="15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 of interest-bearing deposits</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3.20</w:t>
            </w: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Cost of total deposits</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2.46</w:t>
            </w:r>
          </w:p>
        </w:tc>
      </w:tr>
      <w:tr>
        <w:trPr>
          <w:trHeight w:val="15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NIM - fully tax equivalent ("FTE")</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3.94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3.73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3.65</w:t>
            </w: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Return on average assets (annualized) ("ROAA")</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0.35</w:t>
            </w:r>
          </w:p>
        </w:tc>
      </w:tr>
      <w:tr>
        <w:trPr>
          <w:trHeight w:val="155"/>
        </w:trPr>
        <w:tc>
          <w:tcPr>
            <w:tcW w:w="38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PTPP ROAA (annualized)</w:t>
            </w:r>
            <w:r>
              <w:rPr>
                <w:rFonts w:ascii="Times New Roman" w:cs="Times New Roman" w:eastAsia="Times New Roman" w:hAnsi="Times New Roman"/>
                <w:sz w:val="14"/>
                <w:szCs w:val="14"/>
                <w:color w:val="auto"/>
                <w:vertAlign w:val="superscript"/>
              </w:rPr>
              <w:t>(1)</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1.95</w:t>
            </w: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Return on average shareholders’ equity (annualized) ("ROAE")</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11.64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10.64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8.86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9.50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2.79</w:t>
            </w:r>
          </w:p>
        </w:tc>
      </w:tr>
      <w:tr>
        <w:trPr>
          <w:trHeight w:val="155"/>
        </w:trPr>
        <w:tc>
          <w:tcPr>
            <w:tcW w:w="38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Return on average tangible common equity (annualized) ("ROATCE")</w:t>
            </w:r>
            <w:r>
              <w:rPr>
                <w:rFonts w:ascii="Times New Roman" w:cs="Times New Roman" w:eastAsia="Times New Roman" w:hAnsi="Times New Roman"/>
                <w:sz w:val="14"/>
                <w:szCs w:val="14"/>
                <w:color w:val="auto"/>
                <w:vertAlign w:val="superscript"/>
              </w:rPr>
              <w:t>(1)</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13.27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12.17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10.15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10.95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3.22</w:t>
            </w: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Book value per common share</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41.29</w:t>
            </w:r>
          </w:p>
        </w:tc>
        <w:tc>
          <w:tcPr>
            <w:tcW w:w="10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41.52</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40.81</w:t>
            </w:r>
          </w:p>
        </w:tc>
        <w:tc>
          <w:tcPr>
            <w:tcW w:w="10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40.28</w:t>
            </w:r>
          </w:p>
        </w:tc>
        <w:tc>
          <w:tcPr>
            <w:tcW w:w="8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39.23</w:t>
            </w:r>
          </w:p>
        </w:tc>
      </w:tr>
      <w:tr>
        <w:trPr>
          <w:trHeight w:val="155"/>
        </w:trPr>
        <w:tc>
          <w:tcPr>
            <w:tcW w:w="38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 xml:space="preserve">Tangible book value per common share </w:t>
            </w:r>
            <w:r>
              <w:rPr>
                <w:rFonts w:ascii="Times New Roman" w:cs="Times New Roman" w:eastAsia="Times New Roman" w:hAnsi="Times New Roman"/>
                <w:sz w:val="14"/>
                <w:szCs w:val="14"/>
                <w:color w:val="auto"/>
                <w:vertAlign w:val="superscript"/>
              </w:rPr>
              <w:t>(1)</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36.14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36.37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35.61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35.04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33.95</w:t>
            </w:r>
          </w:p>
        </w:tc>
      </w:tr>
      <w:tr>
        <w:trPr>
          <w:trHeight w:val="153"/>
        </w:trPr>
        <w:tc>
          <w:tcPr>
            <w:tcW w:w="3880" w:type="dxa"/>
            <w:vAlign w:val="bottom"/>
          </w:tcPr>
          <w:p>
            <w:pPr>
              <w:spacing w:after="0" w:line="153" w:lineRule="exact"/>
              <w:rPr>
                <w:sz w:val="20"/>
                <w:szCs w:val="20"/>
                <w:color w:val="auto"/>
              </w:rPr>
            </w:pPr>
            <w:r>
              <w:rPr>
                <w:rFonts w:ascii="Times New Roman" w:cs="Times New Roman" w:eastAsia="Times New Roman" w:hAnsi="Times New Roman"/>
                <w:sz w:val="11"/>
                <w:szCs w:val="11"/>
                <w:color w:val="auto"/>
              </w:rPr>
              <w:t>Efficiency ratio</w:t>
            </w:r>
            <w:r>
              <w:rPr>
                <w:rFonts w:ascii="Times New Roman" w:cs="Times New Roman" w:eastAsia="Times New Roman" w:hAnsi="Times New Roman"/>
                <w:sz w:val="14"/>
                <w:szCs w:val="14"/>
                <w:color w:val="auto"/>
                <w:vertAlign w:val="superscript"/>
              </w:rPr>
              <w:t>(2)</w:t>
            </w: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55.19 %</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59.87 %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61.32 %</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60.74 %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56.48 %</w:t>
            </w:r>
          </w:p>
        </w:tc>
      </w:tr>
      <w:tr>
        <w:trPr>
          <w:trHeight w:val="153"/>
        </w:trPr>
        <w:tc>
          <w:tcPr>
            <w:tcW w:w="38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1"/>
                <w:szCs w:val="11"/>
                <w:color w:val="auto"/>
              </w:rPr>
              <w:t>Common equity tier 1 to risk-weighted assets</w:t>
            </w:r>
            <w:r>
              <w:rPr>
                <w:rFonts w:ascii="Times New Roman" w:cs="Times New Roman" w:eastAsia="Times New Roman" w:hAnsi="Times New Roman"/>
                <w:sz w:val="14"/>
                <w:szCs w:val="14"/>
                <w:color w:val="auto"/>
                <w:vertAlign w:val="superscript"/>
              </w:rPr>
              <w:t>(3)</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13.74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13.41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13.60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13.54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13.59</w:t>
            </w:r>
          </w:p>
        </w:tc>
      </w:tr>
      <w:tr>
        <w:trPr>
          <w:trHeight w:val="153"/>
        </w:trPr>
        <w:tc>
          <w:tcPr>
            <w:tcW w:w="3880" w:type="dxa"/>
            <w:vAlign w:val="bottom"/>
          </w:tcPr>
          <w:p>
            <w:pPr>
              <w:spacing w:after="0" w:line="153" w:lineRule="exact"/>
              <w:rPr>
                <w:sz w:val="20"/>
                <w:szCs w:val="20"/>
                <w:color w:val="auto"/>
              </w:rPr>
            </w:pPr>
            <w:r>
              <w:rPr>
                <w:rFonts w:ascii="Times New Roman" w:cs="Times New Roman" w:eastAsia="Times New Roman" w:hAnsi="Times New Roman"/>
                <w:sz w:val="11"/>
                <w:szCs w:val="11"/>
                <w:color w:val="auto"/>
              </w:rPr>
              <w:t>Tier 1 capital to risk-weighted assets</w:t>
            </w:r>
            <w:r>
              <w:rPr>
                <w:rFonts w:ascii="Times New Roman" w:cs="Times New Roman" w:eastAsia="Times New Roman" w:hAnsi="Times New Roman"/>
                <w:sz w:val="14"/>
                <w:szCs w:val="14"/>
                <w:color w:val="auto"/>
                <w:vertAlign w:val="superscript"/>
              </w:rPr>
              <w:t>(3)</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13.85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13.59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13.79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13.73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13.79</w:t>
            </w:r>
          </w:p>
        </w:tc>
      </w:tr>
      <w:tr>
        <w:trPr>
          <w:trHeight w:val="153"/>
        </w:trPr>
        <w:tc>
          <w:tcPr>
            <w:tcW w:w="38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1"/>
                <w:szCs w:val="11"/>
                <w:color w:val="auto"/>
              </w:rPr>
              <w:t>Total capital to risk-weighted assets</w:t>
            </w:r>
            <w:r>
              <w:rPr>
                <w:rFonts w:ascii="Times New Roman" w:cs="Times New Roman" w:eastAsia="Times New Roman" w:hAnsi="Times New Roman"/>
                <w:sz w:val="14"/>
                <w:szCs w:val="14"/>
                <w:color w:val="auto"/>
                <w:vertAlign w:val="superscript"/>
              </w:rPr>
              <w:t>(3)</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15.07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14.74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14.99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14.91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15.90</w:t>
            </w:r>
          </w:p>
        </w:tc>
      </w:tr>
      <w:tr>
        <w:trPr>
          <w:trHeight w:val="195"/>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Tier 1 leverage ratio</w:t>
            </w:r>
            <w:r>
              <w:rPr>
                <w:rFonts w:ascii="Times New Roman" w:cs="Times New Roman" w:eastAsia="Times New Roman" w:hAnsi="Times New Roman"/>
                <w:sz w:val="14"/>
                <w:szCs w:val="14"/>
                <w:color w:val="auto"/>
                <w:vertAlign w:val="superscript"/>
              </w:rPr>
              <w:t>(3)</w:t>
            </w:r>
          </w:p>
        </w:tc>
        <w:tc>
          <w:tcPr>
            <w:tcW w:w="240" w:type="dxa"/>
            <w:vAlign w:val="bottom"/>
          </w:tcPr>
          <w:p>
            <w:pPr>
              <w:spacing w:after="0"/>
              <w:rPr>
                <w:sz w:val="16"/>
                <w:szCs w:val="16"/>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11.86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11.69</w:t>
            </w:r>
          </w:p>
        </w:tc>
      </w:tr>
    </w:tbl>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9"/>
          <w:szCs w:val="9"/>
          <w:color w:val="auto"/>
        </w:rPr>
        <w:t>__________________________</w:t>
      </w:r>
    </w:p>
    <w:p>
      <w:pPr>
        <w:spacing w:after="0" w:line="3" w:lineRule="exact"/>
        <w:rPr>
          <w:sz w:val="20"/>
          <w:szCs w:val="20"/>
          <w:color w:val="auto"/>
        </w:rPr>
      </w:pPr>
    </w:p>
    <w:p>
      <w:pPr>
        <w:ind w:left="208" w:right="200" w:hanging="208"/>
        <w:spacing w:after="0" w:line="215" w:lineRule="auto"/>
        <w:tabs>
          <w:tab w:leader="none" w:pos="200" w:val="left"/>
        </w:tabs>
        <w:numPr>
          <w:ilvl w:val="0"/>
          <w:numId w:val="1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PTPP earnings, PTPP ROAA, ROATCE and tangible book value per common share are either non-GAAP financial measures or use a non-GAAP contributor in the formula. For a reconciliation of these alternative financial measures to their most directly comparable GAAP measures, please see the last few pages of this release.</w:t>
      </w:r>
    </w:p>
    <w:p>
      <w:pPr>
        <w:ind w:left="208" w:hanging="208"/>
        <w:spacing w:after="0"/>
        <w:tabs>
          <w:tab w:leader="none" w:pos="208" w:val="left"/>
        </w:tabs>
        <w:numPr>
          <w:ilvl w:val="0"/>
          <w:numId w:val="13"/>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Calculated by dividing noninterest expense by the sum of net interest income plus noninterest income.</w:t>
      </w:r>
    </w:p>
    <w:p>
      <w:pPr>
        <w:spacing w:after="0" w:line="2" w:lineRule="exact"/>
        <w:rPr>
          <w:rFonts w:ascii="Times New Roman" w:cs="Times New Roman" w:eastAsia="Times New Roman" w:hAnsi="Times New Roman"/>
          <w:sz w:val="6"/>
          <w:szCs w:val="6"/>
          <w:color w:val="auto"/>
        </w:rPr>
      </w:pPr>
    </w:p>
    <w:p>
      <w:pPr>
        <w:ind w:left="208" w:hanging="208"/>
        <w:spacing w:after="0" w:line="203" w:lineRule="auto"/>
        <w:tabs>
          <w:tab w:leader="none" w:pos="208" w:val="left"/>
        </w:tabs>
        <w:numPr>
          <w:ilvl w:val="0"/>
          <w:numId w:val="1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Ratios are calculated at the Company level, which is subject to the capital adequacy requirements of the Federal Reserve Board. September 30, 2026 ratios are estimated.</w:t>
      </w:r>
    </w:p>
    <w:p>
      <w:pPr>
        <w:spacing w:after="0" w:line="2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8"/>
          </w:cols>
          <w:pgMar w:left="292" w:top="125" w:right="299" w:bottom="1440" w:gutter="0" w:footer="0" w:header="0"/>
        </w:sectPr>
      </w:pPr>
    </w:p>
    <w:bookmarkStart w:id="12" w:name="page13"/>
    <w:bookmarkEnd w:id="12"/>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Origin Bancorp,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Selected Year-To-Date Financial Data</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0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0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gridSpan w:val="3"/>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620" w:type="dxa"/>
            <w:vAlign w:val="bottom"/>
            <w:tcBorders>
              <w:bottom w:val="single" w:sz="8" w:color="auto"/>
            </w:tcBorders>
          </w:tcPr>
          <w:p>
            <w:pPr>
              <w:spacing w:after="0"/>
              <w:rPr>
                <w:sz w:val="12"/>
                <w:szCs w:val="12"/>
                <w:color w:val="auto"/>
              </w:rPr>
            </w:pPr>
          </w:p>
        </w:tc>
      </w:tr>
      <w:tr>
        <w:trPr>
          <w:trHeight w:val="140"/>
        </w:trPr>
        <w:tc>
          <w:tcPr>
            <w:tcW w:w="60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(Dollars in thousands, except per share amounts)</w:t>
            </w:r>
          </w:p>
        </w:tc>
        <w:tc>
          <w:tcPr>
            <w:tcW w:w="6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112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12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1"/>
        </w:trPr>
        <w:tc>
          <w:tcPr>
            <w:tcW w:w="6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Income statement and share amounts</w:t>
            </w:r>
          </w:p>
        </w:tc>
        <w:tc>
          <w:tcPr>
            <w:tcW w:w="6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5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interest income</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274,584</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244,299</w:t>
            </w:r>
          </w:p>
        </w:tc>
      </w:tr>
      <w:tr>
        <w:trPr>
          <w:trHeight w:val="151"/>
        </w:trPr>
        <w:tc>
          <w:tcPr>
            <w:tcW w:w="6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620" w:type="dxa"/>
            <w:vAlign w:val="bottom"/>
          </w:tcPr>
          <w:p>
            <w:pPr>
              <w:spacing w:after="0"/>
              <w:rPr>
                <w:sz w:val="13"/>
                <w:szCs w:val="13"/>
                <w:color w:val="auto"/>
              </w:rPr>
            </w:pPr>
          </w:p>
        </w:tc>
        <w:tc>
          <w:tcPr>
            <w:tcW w:w="1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7,636</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43,126</w:t>
            </w:r>
          </w:p>
        </w:tc>
      </w:tr>
      <w:tr>
        <w:trPr>
          <w:trHeight w:val="15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Noninterest income</w:t>
            </w:r>
          </w:p>
        </w:tc>
        <w:tc>
          <w:tcPr>
            <w:tcW w:w="620" w:type="dxa"/>
            <w:vAlign w:val="bottom"/>
            <w:shd w:val="clear" w:color="auto" w:fill="CCEEFF"/>
          </w:tcPr>
          <w:p>
            <w:pPr>
              <w:spacing w:after="0"/>
              <w:rPr>
                <w:sz w:val="13"/>
                <w:szCs w:val="13"/>
                <w:color w:val="auto"/>
              </w:rPr>
            </w:pPr>
          </w:p>
        </w:tc>
        <w:tc>
          <w:tcPr>
            <w:tcW w:w="1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50,268</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43,098</w:t>
            </w:r>
          </w:p>
        </w:tc>
      </w:tr>
      <w:tr>
        <w:trPr>
          <w:trHeight w:val="151"/>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Noninterest expense</w:t>
            </w:r>
          </w:p>
        </w:tc>
        <w:tc>
          <w:tcPr>
            <w:tcW w:w="6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190,698</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186,079</w:t>
            </w:r>
          </w:p>
        </w:tc>
      </w:tr>
      <w:tr>
        <w:trPr>
          <w:trHeight w:val="14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before income tax expense</w:t>
            </w:r>
          </w:p>
        </w:tc>
        <w:tc>
          <w:tcPr>
            <w:tcW w:w="620" w:type="dxa"/>
            <w:vAlign w:val="bottom"/>
            <w:shd w:val="clear" w:color="auto" w:fill="CCEEFF"/>
          </w:tcPr>
          <w:p>
            <w:pPr>
              <w:spacing w:after="0"/>
              <w:rPr>
                <w:sz w:val="12"/>
                <w:szCs w:val="12"/>
                <w:color w:val="auto"/>
              </w:rPr>
            </w:pPr>
          </w:p>
        </w:tc>
        <w:tc>
          <w:tcPr>
            <w:tcW w:w="1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126,518</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58,192</w:t>
            </w:r>
          </w:p>
        </w:tc>
      </w:tr>
      <w:tr>
        <w:trPr>
          <w:trHeight w:val="151"/>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6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27,201</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12,511</w:t>
            </w:r>
          </w:p>
        </w:tc>
      </w:tr>
      <w:tr>
        <w:trPr>
          <w:trHeight w:val="160"/>
        </w:trPr>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99,317</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45,681</w:t>
            </w:r>
          </w:p>
        </w:tc>
      </w:tr>
      <w:tr>
        <w:trPr>
          <w:trHeight w:val="153"/>
        </w:trPr>
        <w:tc>
          <w:tcPr>
            <w:tcW w:w="6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PTPP earnings</w:t>
            </w:r>
            <w:r>
              <w:rPr>
                <w:rFonts w:ascii="Times New Roman" w:cs="Times New Roman" w:eastAsia="Times New Roman" w:hAnsi="Times New Roman"/>
                <w:sz w:val="14"/>
                <w:szCs w:val="14"/>
                <w:color w:val="auto"/>
                <w:vertAlign w:val="superscript"/>
              </w:rPr>
              <w:t>(1)</w:t>
            </w: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134,154</w:t>
            </w:r>
          </w:p>
        </w:tc>
        <w:tc>
          <w:tcPr>
            <w:tcW w:w="100" w:type="dxa"/>
            <w:vAlign w:val="bottom"/>
          </w:tcPr>
          <w:p>
            <w:pPr>
              <w:spacing w:after="0"/>
              <w:rPr>
                <w:sz w:val="13"/>
                <w:szCs w:val="13"/>
                <w:color w:val="auto"/>
              </w:rPr>
            </w:pPr>
          </w:p>
        </w:tc>
        <w:tc>
          <w:tcPr>
            <w:tcW w:w="960" w:type="dxa"/>
            <w:vAlign w:val="bottom"/>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101,318</w:t>
            </w:r>
          </w:p>
        </w:tc>
      </w:tr>
      <w:tr>
        <w:trPr>
          <w:trHeight w:val="15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Basic earnings per common share</w:t>
            </w:r>
          </w:p>
        </w:tc>
        <w:tc>
          <w:tcPr>
            <w:tcW w:w="620" w:type="dxa"/>
            <w:vAlign w:val="bottom"/>
            <w:shd w:val="clear" w:color="auto" w:fill="CCEEFF"/>
          </w:tcPr>
          <w:p>
            <w:pPr>
              <w:spacing w:after="0"/>
              <w:rPr>
                <w:sz w:val="13"/>
                <w:szCs w:val="13"/>
                <w:color w:val="auto"/>
              </w:rPr>
            </w:pPr>
          </w:p>
        </w:tc>
        <w:tc>
          <w:tcPr>
            <w:tcW w:w="1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3.22</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1.46</w:t>
            </w:r>
          </w:p>
        </w:tc>
      </w:tr>
      <w:tr>
        <w:trPr>
          <w:trHeight w:val="151"/>
        </w:trPr>
        <w:tc>
          <w:tcPr>
            <w:tcW w:w="6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Diluted earnings per common share</w:t>
            </w:r>
          </w:p>
        </w:tc>
        <w:tc>
          <w:tcPr>
            <w:tcW w:w="620" w:type="dxa"/>
            <w:vAlign w:val="bottom"/>
          </w:tcPr>
          <w:p>
            <w:pPr>
              <w:spacing w:after="0"/>
              <w:rPr>
                <w:sz w:val="13"/>
                <w:szCs w:val="13"/>
                <w:color w:val="auto"/>
              </w:rPr>
            </w:pPr>
          </w:p>
        </w:tc>
        <w:tc>
          <w:tcPr>
            <w:tcW w:w="1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3.19</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1.46</w:t>
            </w:r>
          </w:p>
        </w:tc>
      </w:tr>
      <w:tr>
        <w:trPr>
          <w:trHeight w:val="15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declared per common share</w:t>
            </w:r>
          </w:p>
        </w:tc>
        <w:tc>
          <w:tcPr>
            <w:tcW w:w="620" w:type="dxa"/>
            <w:vAlign w:val="bottom"/>
            <w:shd w:val="clear" w:color="auto" w:fill="CCEEFF"/>
          </w:tcPr>
          <w:p>
            <w:pPr>
              <w:spacing w:after="0"/>
              <w:rPr>
                <w:sz w:val="13"/>
                <w:szCs w:val="13"/>
                <w:color w:val="auto"/>
              </w:rPr>
            </w:pPr>
          </w:p>
        </w:tc>
        <w:tc>
          <w:tcPr>
            <w:tcW w:w="1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0.65</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0.45</w:t>
            </w:r>
          </w:p>
        </w:tc>
      </w:tr>
      <w:tr>
        <w:trPr>
          <w:trHeight w:val="151"/>
        </w:trPr>
        <w:tc>
          <w:tcPr>
            <w:tcW w:w="6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common shares outstanding - basic</w:t>
            </w:r>
          </w:p>
        </w:tc>
        <w:tc>
          <w:tcPr>
            <w:tcW w:w="620" w:type="dxa"/>
            <w:vAlign w:val="bottom"/>
          </w:tcPr>
          <w:p>
            <w:pPr>
              <w:spacing w:after="0"/>
              <w:rPr>
                <w:sz w:val="13"/>
                <w:szCs w:val="13"/>
                <w:color w:val="auto"/>
              </w:rPr>
            </w:pPr>
          </w:p>
        </w:tc>
        <w:tc>
          <w:tcPr>
            <w:tcW w:w="1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30,853,135</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31,193,739</w:t>
            </w:r>
          </w:p>
        </w:tc>
      </w:tr>
      <w:tr>
        <w:trPr>
          <w:trHeight w:val="15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 average common shares outstanding - diluted</w:t>
            </w:r>
          </w:p>
        </w:tc>
        <w:tc>
          <w:tcPr>
            <w:tcW w:w="620" w:type="dxa"/>
            <w:vAlign w:val="bottom"/>
            <w:shd w:val="clear" w:color="auto" w:fill="CCEEFF"/>
          </w:tcPr>
          <w:p>
            <w:pPr>
              <w:spacing w:after="0"/>
              <w:rPr>
                <w:sz w:val="13"/>
                <w:szCs w:val="13"/>
                <w:color w:val="auto"/>
              </w:rPr>
            </w:pPr>
          </w:p>
        </w:tc>
        <w:tc>
          <w:tcPr>
            <w:tcW w:w="1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31,172,097</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31,382,010</w:t>
            </w:r>
          </w:p>
        </w:tc>
      </w:tr>
      <w:tr>
        <w:trPr>
          <w:trHeight w:val="180"/>
        </w:trPr>
        <w:tc>
          <w:tcPr>
            <w:tcW w:w="6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5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Performance metrics</w:t>
            </w:r>
          </w:p>
        </w:tc>
        <w:tc>
          <w:tcPr>
            <w:tcW w:w="6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r>
      <w:tr>
        <w:trPr>
          <w:trHeight w:val="151"/>
        </w:trPr>
        <w:tc>
          <w:tcPr>
            <w:tcW w:w="6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Yield on LHFI</w:t>
            </w:r>
          </w:p>
        </w:tc>
        <w:tc>
          <w:tcPr>
            <w:tcW w:w="62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6.13 %</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6.33 %</w:t>
            </w:r>
          </w:p>
        </w:tc>
      </w:tr>
      <w:tr>
        <w:trPr>
          <w:trHeight w:val="15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Yield on interest-earning assets</w:t>
            </w:r>
          </w:p>
        </w:tc>
        <w:tc>
          <w:tcPr>
            <w:tcW w:w="620" w:type="dxa"/>
            <w:vAlign w:val="bottom"/>
            <w:shd w:val="clear" w:color="auto" w:fill="CCEEFF"/>
          </w:tcPr>
          <w:p>
            <w:pPr>
              <w:spacing w:after="0"/>
              <w:rPr>
                <w:sz w:val="13"/>
                <w:szCs w:val="13"/>
                <w:color w:val="auto"/>
              </w:rPr>
            </w:pPr>
          </w:p>
        </w:tc>
        <w:tc>
          <w:tcPr>
            <w:tcW w:w="1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5.69</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5.85</w:t>
            </w:r>
          </w:p>
        </w:tc>
      </w:tr>
      <w:tr>
        <w:trPr>
          <w:trHeight w:val="151"/>
        </w:trPr>
        <w:tc>
          <w:tcPr>
            <w:tcW w:w="6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interest-bearing deposits</w:t>
            </w:r>
          </w:p>
        </w:tc>
        <w:tc>
          <w:tcPr>
            <w:tcW w:w="620" w:type="dxa"/>
            <w:vAlign w:val="bottom"/>
          </w:tcPr>
          <w:p>
            <w:pPr>
              <w:spacing w:after="0"/>
              <w:rPr>
                <w:sz w:val="13"/>
                <w:szCs w:val="13"/>
                <w:color w:val="auto"/>
              </w:rPr>
            </w:pPr>
          </w:p>
        </w:tc>
        <w:tc>
          <w:tcPr>
            <w:tcW w:w="1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3.21</w:t>
            </w:r>
          </w:p>
        </w:tc>
      </w:tr>
      <w:tr>
        <w:trPr>
          <w:trHeight w:val="15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Cost of total deposits</w:t>
            </w:r>
          </w:p>
        </w:tc>
        <w:tc>
          <w:tcPr>
            <w:tcW w:w="620" w:type="dxa"/>
            <w:vAlign w:val="bottom"/>
            <w:shd w:val="clear" w:color="auto" w:fill="CCEEFF"/>
          </w:tcPr>
          <w:p>
            <w:pPr>
              <w:spacing w:after="0"/>
              <w:rPr>
                <w:sz w:val="13"/>
                <w:szCs w:val="13"/>
                <w:color w:val="auto"/>
              </w:rPr>
            </w:pPr>
          </w:p>
        </w:tc>
        <w:tc>
          <w:tcPr>
            <w:tcW w:w="1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2.02</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2.48</w:t>
            </w:r>
          </w:p>
        </w:tc>
      </w:tr>
      <w:tr>
        <w:trPr>
          <w:trHeight w:val="151"/>
        </w:trPr>
        <w:tc>
          <w:tcPr>
            <w:tcW w:w="6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NIM-FTE</w:t>
            </w:r>
          </w:p>
        </w:tc>
        <w:tc>
          <w:tcPr>
            <w:tcW w:w="620" w:type="dxa"/>
            <w:vAlign w:val="bottom"/>
          </w:tcPr>
          <w:p>
            <w:pPr>
              <w:spacing w:after="0"/>
              <w:rPr>
                <w:sz w:val="13"/>
                <w:szCs w:val="13"/>
                <w:color w:val="auto"/>
              </w:rPr>
            </w:pPr>
          </w:p>
        </w:tc>
        <w:tc>
          <w:tcPr>
            <w:tcW w:w="1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3.86</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3.57</w:t>
            </w:r>
          </w:p>
        </w:tc>
      </w:tr>
      <w:tr>
        <w:trPr>
          <w:trHeight w:val="15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ROAA (annualized)</w:t>
            </w:r>
          </w:p>
        </w:tc>
        <w:tc>
          <w:tcPr>
            <w:tcW w:w="620" w:type="dxa"/>
            <w:vAlign w:val="bottom"/>
            <w:shd w:val="clear" w:color="auto" w:fill="CCEEFF"/>
          </w:tcPr>
          <w:p>
            <w:pPr>
              <w:spacing w:after="0"/>
              <w:rPr>
                <w:sz w:val="13"/>
                <w:szCs w:val="13"/>
                <w:color w:val="auto"/>
              </w:rPr>
            </w:pPr>
          </w:p>
        </w:tc>
        <w:tc>
          <w:tcPr>
            <w:tcW w:w="1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0.63</w:t>
            </w:r>
          </w:p>
        </w:tc>
      </w:tr>
      <w:tr>
        <w:trPr>
          <w:trHeight w:val="153"/>
        </w:trPr>
        <w:tc>
          <w:tcPr>
            <w:tcW w:w="6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PTPP ROAA (annualized)</w:t>
            </w:r>
            <w:r>
              <w:rPr>
                <w:rFonts w:ascii="Times New Roman" w:cs="Times New Roman" w:eastAsia="Times New Roman" w:hAnsi="Times New Roman"/>
                <w:sz w:val="14"/>
                <w:szCs w:val="14"/>
                <w:color w:val="auto"/>
                <w:vertAlign w:val="superscript"/>
              </w:rPr>
              <w:t>(1)</w:t>
            </w:r>
          </w:p>
        </w:tc>
        <w:tc>
          <w:tcPr>
            <w:tcW w:w="620" w:type="dxa"/>
            <w:vAlign w:val="bottom"/>
          </w:tcPr>
          <w:p>
            <w:pPr>
              <w:spacing w:after="0"/>
              <w:rPr>
                <w:sz w:val="13"/>
                <w:szCs w:val="13"/>
                <w:color w:val="auto"/>
              </w:rPr>
            </w:pPr>
          </w:p>
        </w:tc>
        <w:tc>
          <w:tcPr>
            <w:tcW w:w="1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1.77</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1.39</w:t>
            </w:r>
          </w:p>
        </w:tc>
      </w:tr>
      <w:tr>
        <w:trPr>
          <w:trHeight w:val="15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ROAE (annualized)</w:t>
            </w:r>
          </w:p>
        </w:tc>
        <w:tc>
          <w:tcPr>
            <w:tcW w:w="620" w:type="dxa"/>
            <w:vAlign w:val="bottom"/>
            <w:shd w:val="clear" w:color="auto" w:fill="CCEEFF"/>
          </w:tcPr>
          <w:p>
            <w:pPr>
              <w:spacing w:after="0"/>
              <w:rPr>
                <w:sz w:val="13"/>
                <w:szCs w:val="13"/>
                <w:color w:val="auto"/>
              </w:rPr>
            </w:pPr>
          </w:p>
        </w:tc>
        <w:tc>
          <w:tcPr>
            <w:tcW w:w="1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10.40</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5.11</w:t>
            </w:r>
          </w:p>
        </w:tc>
      </w:tr>
      <w:tr>
        <w:trPr>
          <w:trHeight w:val="153"/>
        </w:trPr>
        <w:tc>
          <w:tcPr>
            <w:tcW w:w="6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ROATCE (annualized)</w:t>
            </w:r>
            <w:r>
              <w:rPr>
                <w:rFonts w:ascii="Times New Roman" w:cs="Times New Roman" w:eastAsia="Times New Roman" w:hAnsi="Times New Roman"/>
                <w:sz w:val="14"/>
                <w:szCs w:val="14"/>
                <w:color w:val="auto"/>
                <w:vertAlign w:val="superscript"/>
              </w:rPr>
              <w:t>(1)</w:t>
            </w:r>
          </w:p>
        </w:tc>
        <w:tc>
          <w:tcPr>
            <w:tcW w:w="620" w:type="dxa"/>
            <w:vAlign w:val="bottom"/>
          </w:tcPr>
          <w:p>
            <w:pPr>
              <w:spacing w:after="0"/>
              <w:rPr>
                <w:sz w:val="13"/>
                <w:szCs w:val="13"/>
                <w:color w:val="auto"/>
              </w:rPr>
            </w:pPr>
          </w:p>
        </w:tc>
        <w:tc>
          <w:tcPr>
            <w:tcW w:w="1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11.89</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5.93</w:t>
            </w:r>
          </w:p>
        </w:tc>
      </w:tr>
      <w:tr>
        <w:trPr>
          <w:trHeight w:val="153"/>
        </w:trPr>
        <w:tc>
          <w:tcPr>
            <w:tcW w:w="60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1"/>
                <w:szCs w:val="11"/>
                <w:color w:val="auto"/>
              </w:rPr>
              <w:t>Efficiency ratio</w:t>
            </w:r>
            <w:r>
              <w:rPr>
                <w:rFonts w:ascii="Times New Roman" w:cs="Times New Roman" w:eastAsia="Times New Roman" w:hAnsi="Times New Roman"/>
                <w:sz w:val="14"/>
                <w:szCs w:val="14"/>
                <w:color w:val="auto"/>
                <w:vertAlign w:val="superscript"/>
              </w:rPr>
              <w:t>(2)</w:t>
            </w:r>
          </w:p>
        </w:tc>
        <w:tc>
          <w:tcPr>
            <w:tcW w:w="620" w:type="dxa"/>
            <w:vAlign w:val="bottom"/>
            <w:shd w:val="clear" w:color="auto" w:fill="CCEEFF"/>
          </w:tcPr>
          <w:p>
            <w:pPr>
              <w:spacing w:after="0"/>
              <w:rPr>
                <w:sz w:val="13"/>
                <w:szCs w:val="13"/>
                <w:color w:val="auto"/>
              </w:rPr>
            </w:pPr>
          </w:p>
        </w:tc>
        <w:tc>
          <w:tcPr>
            <w:tcW w:w="1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58.70</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64.75</w:t>
            </w:r>
          </w:p>
        </w:tc>
      </w:tr>
    </w:tbl>
    <w:p>
      <w:pPr>
        <w:spacing w:after="0" w:line="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9"/>
          <w:szCs w:val="9"/>
          <w:color w:val="auto"/>
        </w:rPr>
        <w:t>____________________________</w:t>
      </w:r>
    </w:p>
    <w:p>
      <w:pPr>
        <w:spacing w:after="0" w:line="5" w:lineRule="exact"/>
        <w:rPr>
          <w:sz w:val="20"/>
          <w:szCs w:val="20"/>
          <w:color w:val="auto"/>
        </w:rPr>
      </w:pPr>
    </w:p>
    <w:p>
      <w:pPr>
        <w:ind w:left="208" w:hanging="208"/>
        <w:spacing w:after="0"/>
        <w:tabs>
          <w:tab w:leader="none" w:pos="208" w:val="left"/>
        </w:tabs>
        <w:numPr>
          <w:ilvl w:val="0"/>
          <w:numId w:val="14"/>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PTPP earnings, PTPP ROAA, and ROATCE are either non-GAAP financial measures or use a non-GAAP contributor in the formula. For a reconciliation of these alternative financial measures to their most directly comparable GAAP measures, please see the last few pages of this release.</w:t>
      </w:r>
    </w:p>
    <w:p>
      <w:pPr>
        <w:spacing w:after="0" w:line="12" w:lineRule="exact"/>
        <w:rPr>
          <w:rFonts w:ascii="Times New Roman" w:cs="Times New Roman" w:eastAsia="Times New Roman" w:hAnsi="Times New Roman"/>
          <w:sz w:val="11"/>
          <w:szCs w:val="11"/>
          <w:color w:val="auto"/>
          <w:vertAlign w:val="superscript"/>
        </w:rPr>
      </w:pPr>
    </w:p>
    <w:p>
      <w:pPr>
        <w:ind w:left="208" w:hanging="208"/>
        <w:spacing w:after="0" w:line="197" w:lineRule="auto"/>
        <w:tabs>
          <w:tab w:leader="none" w:pos="208" w:val="left"/>
        </w:tabs>
        <w:numPr>
          <w:ilvl w:val="0"/>
          <w:numId w:val="1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Calculated by dividing noninterest expense by the sum of net interest income plus noninterest income.</w:t>
      </w:r>
    </w:p>
    <w:p>
      <w:pPr>
        <w:spacing w:after="0" w:line="3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88"/>
          </w:cols>
          <w:pgMar w:left="292" w:top="125"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2"/>
          <w:szCs w:val="12"/>
          <w:b w:val="1"/>
          <w:bCs w:val="1"/>
          <w:color w:val="auto"/>
        </w:rPr>
        <w:t>Origin Bancorp,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Quarterly Statements of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08"/>
        </w:trPr>
        <w:tc>
          <w:tcPr>
            <w:tcW w:w="3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300" w:type="dxa"/>
            <w:vAlign w:val="bottom"/>
          </w:tcPr>
          <w:p>
            <w:pPr>
              <w:spacing w:after="0"/>
              <w:rPr>
                <w:sz w:val="9"/>
                <w:szCs w:val="9"/>
                <w:color w:val="auto"/>
              </w:rPr>
            </w:pPr>
          </w:p>
        </w:tc>
        <w:tc>
          <w:tcPr>
            <w:tcW w:w="1220" w:type="dxa"/>
            <w:vAlign w:val="bottom"/>
            <w:gridSpan w:val="2"/>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60" w:type="dxa"/>
            <w:vAlign w:val="bottom"/>
          </w:tcPr>
          <w:p>
            <w:pPr>
              <w:spacing w:after="0"/>
              <w:rPr>
                <w:sz w:val="9"/>
                <w:szCs w:val="9"/>
                <w:color w:val="auto"/>
              </w:rPr>
            </w:pPr>
          </w:p>
        </w:tc>
        <w:tc>
          <w:tcPr>
            <w:tcW w:w="13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March 31,</w:t>
            </w:r>
          </w:p>
        </w:tc>
        <w:tc>
          <w:tcPr>
            <w:tcW w:w="280" w:type="dxa"/>
            <w:vAlign w:val="bottom"/>
          </w:tcPr>
          <w:p>
            <w:pPr>
              <w:spacing w:after="0"/>
              <w:rPr>
                <w:sz w:val="9"/>
                <w:szCs w:val="9"/>
                <w:color w:val="auto"/>
              </w:rPr>
            </w:pPr>
          </w:p>
        </w:tc>
        <w:tc>
          <w:tcPr>
            <w:tcW w:w="124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9"/>
                <w:szCs w:val="9"/>
                <w:color w:val="auto"/>
              </w:rPr>
            </w:pPr>
          </w:p>
        </w:tc>
        <w:tc>
          <w:tcPr>
            <w:tcW w:w="1200" w:type="dxa"/>
            <w:vAlign w:val="bottom"/>
          </w:tcPr>
          <w:p>
            <w:pPr>
              <w:jc w:val="right"/>
              <w:ind w:right="326"/>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42"/>
        </w:trPr>
        <w:tc>
          <w:tcPr>
            <w:tcW w:w="38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9"/>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Interest and dividend income</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gridSpan w:val="6"/>
          </w:tcPr>
          <w:p>
            <w:pPr>
              <w:jc w:val="center"/>
              <w:ind w:left="826"/>
              <w:spacing w:after="0"/>
              <w:rPr>
                <w:sz w:val="20"/>
                <w:szCs w:val="20"/>
                <w:color w:val="auto"/>
              </w:rPr>
            </w:pPr>
            <w:r>
              <w:rPr>
                <w:rFonts w:ascii="Times New Roman" w:cs="Times New Roman" w:eastAsia="Times New Roman" w:hAnsi="Times New Roman"/>
                <w:sz w:val="10"/>
                <w:szCs w:val="10"/>
                <w:color w:val="auto"/>
                <w:w w:val="96"/>
              </w:rPr>
              <w:t>(Dollars in thousands, except per share amounts)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and fees on loans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125,458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121,857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114,161</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119,282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120,096</w:t>
            </w:r>
          </w:p>
        </w:tc>
      </w:tr>
      <w:tr>
        <w:trPr>
          <w:trHeight w:val="151"/>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Investment securities-taxable</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9,039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8,776</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8,991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8,767</w:t>
            </w: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securities-nontaxable</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1,517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1,486</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1,523</w:t>
            </w:r>
          </w:p>
        </w:tc>
      </w:tr>
      <w:tr>
        <w:trPr>
          <w:trHeight w:val="151"/>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Interest and dividend income on assets held in other financial institutions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3,310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6,873</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4,884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5,753</w:t>
            </w:r>
          </w:p>
        </w:tc>
      </w:tr>
      <w:tr>
        <w:trPr>
          <w:trHeight w:val="144"/>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b w:val="1"/>
                <w:bCs w:val="1"/>
                <w:color w:val="auto"/>
              </w:rPr>
              <w:t>Total interest and dividend income</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140,035</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135,723</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131,296</w:t>
            </w:r>
          </w:p>
        </w:tc>
        <w:tc>
          <w:tcPr>
            <w:tcW w:w="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134,644</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136,139</w:t>
            </w:r>
          </w:p>
        </w:tc>
      </w:tr>
      <w:tr>
        <w:trPr>
          <w:trHeight w:val="131"/>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deposits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44,108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42,001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43,702</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46,510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51,026</w:t>
            </w:r>
          </w:p>
        </w:tc>
      </w:tr>
      <w:tr>
        <w:trPr>
          <w:trHeight w:val="151"/>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Subordinated indebtedness</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239</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239</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1,338</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w:t>
            </w:r>
          </w:p>
        </w:tc>
      </w:tr>
      <w:tr>
        <w:trPr>
          <w:trHeight w:val="140"/>
        </w:trPr>
        <w:tc>
          <w:tcPr>
            <w:tcW w:w="3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Total interest expense</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44,895</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43,523</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44,052</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47,950</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52,435</w:t>
            </w:r>
          </w:p>
        </w:tc>
      </w:tr>
      <w:tr>
        <w:trPr>
          <w:trHeight w:val="144"/>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b w:val="1"/>
                <w:bCs w:val="1"/>
                <w:color w:val="auto"/>
              </w:rPr>
              <w:t>Net interest income</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95,140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92,200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87,244</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86,694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83,704</w:t>
            </w:r>
          </w:p>
        </w:tc>
      </w:tr>
      <w:tr>
        <w:trPr>
          <w:trHeight w:val="151"/>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2,606</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4,965</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36,820</w:t>
            </w:r>
          </w:p>
        </w:tc>
      </w:tr>
      <w:tr>
        <w:trPr>
          <w:trHeight w:val="144"/>
        </w:trPr>
        <w:tc>
          <w:tcPr>
            <w:tcW w:w="3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Net interest income after provision for credit losses</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92,534</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92,135</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82,279</w:t>
            </w:r>
          </w:p>
        </w:tc>
        <w:tc>
          <w:tcPr>
            <w:tcW w:w="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83,536</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46,884</w:t>
            </w:r>
          </w:p>
        </w:tc>
      </w:tr>
      <w:tr>
        <w:trPr>
          <w:trHeight w:val="131"/>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Noninterest income</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Insurance commission and fee income</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6,883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9,597</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6,598</w:t>
            </w:r>
          </w:p>
        </w:tc>
      </w:tr>
      <w:tr>
        <w:trPr>
          <w:trHeight w:val="151"/>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Service charges and fees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5,334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4,951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4,965</w:t>
            </w: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fee income</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2,321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2,295</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2,262</w:t>
            </w:r>
          </w:p>
        </w:tc>
      </w:tr>
      <w:tr>
        <w:trPr>
          <w:trHeight w:val="151"/>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Mortgage banking revenue</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w:t>
            </w: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Swap fee income</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54</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1,387</w:t>
            </w:r>
          </w:p>
        </w:tc>
      </w:tr>
      <w:tr>
        <w:trPr>
          <w:trHeight w:val="151"/>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Change in fair value of equity investments</w:t>
            </w:r>
          </w:p>
        </w:tc>
        <w:tc>
          <w:tcPr>
            <w:tcW w:w="22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6,972</w:t>
            </w: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(Loss) gain on sales of securities, net</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Equity method investment income (loss)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(1,517)</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w:t>
            </w: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income</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760</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586</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852</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1,037</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2,668</w:t>
            </w:r>
          </w:p>
        </w:tc>
      </w:tr>
      <w:tr>
        <w:trPr>
          <w:trHeight w:val="140"/>
        </w:trPr>
        <w:tc>
          <w:tcPr>
            <w:tcW w:w="3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Total noninterest income</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18,080</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15,393</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16,795</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16,736</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26,128</w:t>
            </w:r>
          </w:p>
        </w:tc>
      </w:tr>
      <w:tr>
        <w:trPr>
          <w:trHeight w:val="13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Noninterest expense</w:t>
            </w: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1"/>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40,521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40,374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38,397</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37,015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37,863</w:t>
            </w: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Occupancy and equipment, net</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7,322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7,201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6,984</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6,961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7,079</w:t>
            </w:r>
          </w:p>
        </w:tc>
      </w:tr>
      <w:tr>
        <w:trPr>
          <w:trHeight w:val="151"/>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Data processing</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3,738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4,050</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3,526</w:t>
            </w: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Office and operations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3,174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2,937</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3,184</w:t>
            </w:r>
          </w:p>
        </w:tc>
      </w:tr>
      <w:tr>
        <w:trPr>
          <w:trHeight w:val="151"/>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Professional services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1,809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2,649</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1,395</w:t>
            </w: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Intangible asset amortization</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1,484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1,485</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1,583</w:t>
            </w:r>
          </w:p>
        </w:tc>
      </w:tr>
      <w:tr>
        <w:trPr>
          <w:trHeight w:val="151"/>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Electronic banking</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935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1,442</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Advertising and marketing</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1,360</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1,524</w:t>
            </w:r>
          </w:p>
        </w:tc>
      </w:tr>
      <w:tr>
        <w:trPr>
          <w:trHeight w:val="151"/>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Regulatory assessments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1,364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1,269</w:t>
            </w:r>
          </w:p>
        </w:tc>
      </w:tr>
      <w:tr>
        <w:trPr>
          <w:trHeight w:val="155"/>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Loan-related expenses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1,045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895</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979</w:t>
            </w:r>
          </w:p>
        </w:tc>
      </w:tr>
      <w:tr>
        <w:trPr>
          <w:trHeight w:val="151"/>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expenses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1,638</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2,263</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2,156</w:t>
            </w:r>
          </w:p>
        </w:tc>
      </w:tr>
      <w:tr>
        <w:trPr>
          <w:trHeight w:val="144"/>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b w:val="1"/>
                <w:bCs w:val="1"/>
                <w:color w:val="auto"/>
              </w:rPr>
              <w:t>Total noninterest expense</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62,489</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64,412</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63,797</w:t>
            </w:r>
          </w:p>
        </w:tc>
        <w:tc>
          <w:tcPr>
            <w:tcW w:w="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62,823</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62,028</w:t>
            </w:r>
          </w:p>
        </w:tc>
      </w:tr>
      <w:tr>
        <w:trPr>
          <w:trHeight w:val="140"/>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Income before income tax expense</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48,125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43,116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35,277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37,449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10,984</w:t>
            </w:r>
          </w:p>
        </w:tc>
      </w:tr>
      <w:tr>
        <w:trPr>
          <w:trHeight w:val="15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10,347</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9,270</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7,584</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7,933</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2,361</w:t>
            </w:r>
          </w:p>
        </w:tc>
      </w:tr>
      <w:tr>
        <w:trPr>
          <w:trHeight w:val="144"/>
        </w:trPr>
        <w:tc>
          <w:tcPr>
            <w:tcW w:w="3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37,778</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33,846</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27,693</w:t>
            </w:r>
          </w:p>
        </w:tc>
        <w:tc>
          <w:tcPr>
            <w:tcW w:w="60" w:type="dxa"/>
            <w:vAlign w:val="bottom"/>
          </w:tcPr>
          <w:p>
            <w:pPr>
              <w:spacing w:after="0"/>
              <w:rPr>
                <w:sz w:val="12"/>
                <w:szCs w:val="12"/>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29,516</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8,623</w:t>
            </w: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280"/>
          </w:cols>
          <w:pgMar w:left="300" w:top="125"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2"/>
          <w:szCs w:val="12"/>
          <w:b w:val="1"/>
          <w:bCs w:val="1"/>
          <w:color w:val="auto"/>
        </w:rPr>
        <w:t>Origin Bancorp,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186690</wp:posOffset>
            </wp:positionV>
            <wp:extent cx="47777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77740" cy="571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00" w:type="dxa"/>
            <w:vAlign w:val="bottom"/>
          </w:tcPr>
          <w:p>
            <w:pPr>
              <w:spacing w:after="0"/>
              <w:rPr>
                <w:sz w:val="11"/>
                <w:szCs w:val="11"/>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80" w:type="dxa"/>
            <w:vAlign w:val="bottom"/>
          </w:tcPr>
          <w:p>
            <w:pPr>
              <w:spacing w:after="0"/>
              <w:rPr>
                <w:sz w:val="11"/>
                <w:szCs w:val="1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40" w:type="dxa"/>
            <w:vAlign w:val="bottom"/>
          </w:tcPr>
          <w:p>
            <w:pPr>
              <w:spacing w:after="0"/>
              <w:rPr>
                <w:sz w:val="11"/>
                <w:szCs w:val="1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42"/>
        </w:trPr>
        <w:tc>
          <w:tcPr>
            <w:tcW w:w="3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(Dollars in thousands)</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33"/>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due from banks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84,416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87,315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90,641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73,122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94,062</w:t>
            </w:r>
          </w:p>
        </w:tc>
      </w:tr>
      <w:tr>
        <w:trPr>
          <w:trHeight w:val="151"/>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Interest-bearing deposits in banks</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262,666</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459,216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575,562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351,095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532,847</w:t>
            </w:r>
          </w:p>
        </w:tc>
      </w:tr>
      <w:tr>
        <w:trPr>
          <w:trHeight w:val="144"/>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cash and cash equivalents</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347,082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546,531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666,203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424,217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626,909</w:t>
            </w:r>
          </w:p>
        </w:tc>
      </w:tr>
      <w:tr>
        <w:trPr>
          <w:trHeight w:val="151"/>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Securities:</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5"/>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AFS</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1,117,665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1,142,223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1,151,402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1,117,176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1,104,789</w:t>
            </w:r>
          </w:p>
        </w:tc>
      </w:tr>
      <w:tr>
        <w:trPr>
          <w:trHeight w:val="151"/>
        </w:trPr>
        <w:tc>
          <w:tcPr>
            <w:tcW w:w="3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Held to maturity, net of allowance for credit losses</w:t>
            </w:r>
          </w:p>
        </w:tc>
        <w:tc>
          <w:tcPr>
            <w:tcW w:w="22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22,493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10,557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10,557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10,559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10,559</w:t>
            </w:r>
          </w:p>
        </w:tc>
      </w:tr>
      <w:tr>
        <w:trPr>
          <w:trHeight w:val="15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Securities carried at fair value through income</w:t>
            </w: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5,836</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6,197</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6,203</w:t>
            </w:r>
          </w:p>
        </w:tc>
      </w:tr>
      <w:tr>
        <w:trPr>
          <w:trHeight w:val="142"/>
        </w:trPr>
        <w:tc>
          <w:tcPr>
            <w:tcW w:w="3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 securities</w:t>
            </w:r>
          </w:p>
        </w:tc>
        <w:tc>
          <w:tcPr>
            <w:tcW w:w="2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1,145,994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1,158,652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1,168,156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1,133,950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1,121,551</w:t>
            </w:r>
          </w:p>
        </w:tc>
      </w:tr>
      <w:tr>
        <w:trPr>
          <w:trHeight w:val="15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Non-marketable equity securities held in other financial institutions</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33,136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37,662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31,193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31,069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31,041</w:t>
            </w:r>
          </w:p>
        </w:tc>
      </w:tr>
      <w:tr>
        <w:trPr>
          <w:trHeight w:val="151"/>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method investments</w:t>
            </w:r>
          </w:p>
        </w:tc>
        <w:tc>
          <w:tcPr>
            <w:tcW w:w="22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64,168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63,141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66,091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67,502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65,643</w:t>
            </w:r>
          </w:p>
        </w:tc>
      </w:tr>
      <w:tr>
        <w:trPr>
          <w:trHeight w:val="15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Loans held for sale</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628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w:t>
            </w:r>
          </w:p>
        </w:tc>
      </w:tr>
      <w:tr>
        <w:trPr>
          <w:trHeight w:val="151"/>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LHFI</w:t>
            </w:r>
          </w:p>
        </w:tc>
        <w:tc>
          <w:tcPr>
            <w:tcW w:w="22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8,094,172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8,073,577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7,864,221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7,670,917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7,537,099</w:t>
            </w:r>
          </w:p>
        </w:tc>
      </w:tr>
      <w:tr>
        <w:trPr>
          <w:trHeight w:val="153"/>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Less: ALCL</w:t>
            </w: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98,378</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98,188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99,015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96,782</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96,259</w:t>
            </w:r>
          </w:p>
        </w:tc>
      </w:tr>
      <w:tr>
        <w:trPr>
          <w:trHeight w:val="142"/>
        </w:trPr>
        <w:tc>
          <w:tcPr>
            <w:tcW w:w="3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LHFI, net of ALCL</w:t>
            </w:r>
          </w:p>
        </w:tc>
        <w:tc>
          <w:tcPr>
            <w:tcW w:w="2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7,995,794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7,975,389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7,765,206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7,574,135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7,440,840</w:t>
            </w:r>
          </w:p>
        </w:tc>
      </w:tr>
      <w:tr>
        <w:trPr>
          <w:trHeight w:val="15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Premises and equipment, net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134,673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133,783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126,916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124,249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122,899</w:t>
            </w:r>
          </w:p>
        </w:tc>
      </w:tr>
      <w:tr>
        <w:trPr>
          <w:trHeight w:val="151"/>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surrender value of bank-owned life insurance</w:t>
            </w:r>
          </w:p>
        </w:tc>
        <w:tc>
          <w:tcPr>
            <w:tcW w:w="22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42,466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42,215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41,968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41,726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41,478</w:t>
            </w:r>
          </w:p>
        </w:tc>
      </w:tr>
      <w:tr>
        <w:trPr>
          <w:trHeight w:val="15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128,679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128,679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128,679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128,679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128,679</w:t>
            </w:r>
          </w:p>
        </w:tc>
      </w:tr>
      <w:tr>
        <w:trPr>
          <w:trHeight w:val="151"/>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22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29,059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30,393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31,877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33,362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34,861</w:t>
            </w:r>
          </w:p>
        </w:tc>
      </w:tr>
      <w:tr>
        <w:trPr>
          <w:trHeight w:val="15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Accrued interest receivable and other assets</w:t>
            </w: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183,435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159,339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158,920</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164,801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177,093</w:t>
            </w:r>
          </w:p>
        </w:tc>
      </w:tr>
      <w:tr>
        <w:trPr>
          <w:trHeight w:val="160"/>
        </w:trPr>
        <w:tc>
          <w:tcPr>
            <w:tcW w:w="3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10,105,114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10,276,930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10,188,144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9,724,722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9,791,306</w:t>
            </w:r>
          </w:p>
        </w:tc>
      </w:tr>
      <w:tr>
        <w:trPr>
          <w:trHeight w:val="13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Shareholders’ Equity</w:t>
            </w: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1"/>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Noninterest-bearing deposits</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2,176,440</w:t>
            </w:r>
          </w:p>
        </w:tc>
        <w:tc>
          <w:tcPr>
            <w:tcW w:w="8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2,260,015</w:t>
            </w:r>
          </w:p>
        </w:tc>
        <w:tc>
          <w:tcPr>
            <w:tcW w:w="80" w:type="dxa"/>
            <w:vAlign w:val="bottom"/>
          </w:tcPr>
          <w:p>
            <w:pPr>
              <w:spacing w:after="0"/>
              <w:rPr>
                <w:sz w:val="13"/>
                <w:szCs w:val="13"/>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2,062,982</w:t>
            </w:r>
          </w:p>
        </w:tc>
        <w:tc>
          <w:tcPr>
            <w:tcW w:w="8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1,979,875</w:t>
            </w:r>
          </w:p>
        </w:tc>
        <w:tc>
          <w:tcPr>
            <w:tcW w:w="8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2,000,324</w:t>
            </w:r>
          </w:p>
        </w:tc>
      </w:tr>
      <w:tr>
        <w:trPr>
          <w:trHeight w:val="15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Interest-bearing deposits</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5,727,032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5,684,879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5,895,932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5,497,920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5,516,821</w:t>
            </w:r>
          </w:p>
        </w:tc>
      </w:tr>
      <w:tr>
        <w:trPr>
          <w:trHeight w:val="151"/>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Time deposits</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769,702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758,357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797,354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829,452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814,685</w:t>
            </w:r>
          </w:p>
        </w:tc>
      </w:tr>
      <w:tr>
        <w:trPr>
          <w:trHeight w:val="144"/>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deposits</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8,673,174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8,703,251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8,756,268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8,307,247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8,331,830</w:t>
            </w:r>
          </w:p>
        </w:tc>
      </w:tr>
      <w:tr>
        <w:trPr>
          <w:trHeight w:val="151"/>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2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15,377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136,878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12,609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19,050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12,790</w:t>
            </w:r>
          </w:p>
        </w:tc>
      </w:tr>
      <w:tr>
        <w:trPr>
          <w:trHeight w:val="15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Subordinated indebtedness</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16,619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16,594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16,569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16,544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89,715</w:t>
            </w:r>
          </w:p>
        </w:tc>
      </w:tr>
      <w:tr>
        <w:trPr>
          <w:trHeight w:val="151"/>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136,257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139,150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142,423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135,196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142,215</w:t>
            </w:r>
          </w:p>
        </w:tc>
      </w:tr>
      <w:tr>
        <w:trPr>
          <w:trHeight w:val="144"/>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liabilities</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8,841,427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8,995,873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8,927,869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8,478,037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8,576,550</w:t>
            </w:r>
          </w:p>
        </w:tc>
      </w:tr>
      <w:tr>
        <w:trPr>
          <w:trHeight w:val="151"/>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Shareholders’ equity:</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153,014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154,252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154,397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154,762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154,839</w:t>
            </w:r>
          </w:p>
        </w:tc>
      </w:tr>
      <w:tr>
        <w:trPr>
          <w:trHeight w:val="151"/>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2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526,652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530,959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532,773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533,541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532,975</w:t>
            </w:r>
          </w:p>
        </w:tc>
      </w:tr>
      <w:tr>
        <w:trPr>
          <w:trHeight w:val="15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Retained earnings</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680,431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656,674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633,949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612,523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588,106</w:t>
            </w:r>
          </w:p>
        </w:tc>
      </w:tr>
      <w:tr>
        <w:trPr>
          <w:trHeight w:val="151"/>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(96,410)</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(60,828)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(60,844)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(54,141)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(61,164)</w:t>
            </w:r>
          </w:p>
        </w:tc>
      </w:tr>
      <w:tr>
        <w:trPr>
          <w:trHeight w:val="142"/>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shareholders’ equity</w:t>
            </w:r>
          </w:p>
        </w:tc>
        <w:tc>
          <w:tcPr>
            <w:tcW w:w="2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1,263,687</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1,281,057</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1,260,275</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1,246,685</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1,214,756</w:t>
            </w:r>
          </w:p>
        </w:tc>
      </w:tr>
      <w:tr>
        <w:trPr>
          <w:trHeight w:val="144"/>
        </w:trPr>
        <w:tc>
          <w:tcPr>
            <w:tcW w:w="37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Total liabilities and shareholders’ equity</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10,105,114</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10,276,930</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10,188,144</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9,724,722</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9,791,306</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280"/>
          </w:cols>
          <w:pgMar w:left="300" w:top="125" w:right="31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Origin Bancorp,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Loan Data</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8"/>
              </w:rPr>
              <w:t>At and For the Three Months Ended</w:t>
            </w: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r>
      <w:tr>
        <w:trPr>
          <w:trHeight w:val="108"/>
        </w:trPr>
        <w:tc>
          <w:tcPr>
            <w:tcW w:w="3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280" w:type="dxa"/>
            <w:vAlign w:val="bottom"/>
          </w:tcPr>
          <w:p>
            <w:pPr>
              <w:spacing w:after="0"/>
              <w:rPr>
                <w:sz w:val="9"/>
                <w:szCs w:val="9"/>
                <w:color w:val="auto"/>
              </w:rPr>
            </w:pPr>
          </w:p>
        </w:tc>
        <w:tc>
          <w:tcPr>
            <w:tcW w:w="1100" w:type="dxa"/>
            <w:vAlign w:val="bottom"/>
          </w:tcPr>
          <w:p>
            <w:pPr>
              <w:jc w:val="right"/>
              <w:ind w:right="426"/>
              <w:spacing w:after="0" w:line="10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March 31,</w:t>
            </w:r>
          </w:p>
        </w:tc>
        <w:tc>
          <w:tcPr>
            <w:tcW w:w="220" w:type="dxa"/>
            <w:vAlign w:val="bottom"/>
          </w:tcPr>
          <w:p>
            <w:pPr>
              <w:spacing w:after="0"/>
              <w:rPr>
                <w:sz w:val="9"/>
                <w:szCs w:val="9"/>
                <w:color w:val="auto"/>
              </w:rPr>
            </w:pPr>
          </w:p>
        </w:tc>
        <w:tc>
          <w:tcPr>
            <w:tcW w:w="130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Pr>
          <w:p>
            <w:pPr>
              <w:spacing w:after="0"/>
              <w:rPr>
                <w:sz w:val="9"/>
                <w:szCs w:val="9"/>
                <w:color w:val="auto"/>
              </w:rPr>
            </w:pPr>
          </w:p>
        </w:tc>
        <w:tc>
          <w:tcPr>
            <w:tcW w:w="1220" w:type="dxa"/>
            <w:vAlign w:val="bottom"/>
          </w:tcPr>
          <w:p>
            <w:pPr>
              <w:jc w:val="right"/>
              <w:ind w:right="346"/>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42"/>
        </w:trPr>
        <w:tc>
          <w:tcPr>
            <w:tcW w:w="3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9"/>
        </w:trPr>
        <w:tc>
          <w:tcPr>
            <w:tcW w:w="3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LHFI</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color w:val="auto"/>
                <w:w w:val="96"/>
              </w:rPr>
              <w:t>(Dollars in thousands)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Owner-occupied commercial real estate</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1,115,338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1,048,534</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999,440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1,004,801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986,859</w:t>
            </w:r>
          </w:p>
        </w:tc>
      </w:tr>
      <w:tr>
        <w:trPr>
          <w:trHeight w:val="151"/>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Non-owner-occupied commercial real estate</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1,607,135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1,583,170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1,511,138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1,519,104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1,520,020</w:t>
            </w:r>
          </w:p>
        </w:tc>
      </w:tr>
      <w:tr>
        <w:trPr>
          <w:trHeight w:val="15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Construction/land/land development</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776,682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698,610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641,273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611,220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615,778</w:t>
            </w:r>
          </w:p>
        </w:tc>
      </w:tr>
      <w:tr>
        <w:trPr>
          <w:trHeight w:val="151"/>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Single-family residential real estate</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1,437,148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1,425,285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1,442,792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1,444,611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1,460,696</w:t>
            </w:r>
          </w:p>
        </w:tc>
      </w:tr>
      <w:tr>
        <w:trPr>
          <w:trHeight w:val="15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Multifamily residential real estate</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577,102</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568,445</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555,527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553,149</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540,601</w:t>
            </w:r>
          </w:p>
        </w:tc>
      </w:tr>
      <w:tr>
        <w:trPr>
          <w:trHeight w:val="142"/>
        </w:trPr>
        <w:tc>
          <w:tcPr>
            <w:tcW w:w="37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Total real estate loans</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5,513,405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5,324,044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5,150,170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5,132,885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5,123,954</w:t>
            </w:r>
          </w:p>
        </w:tc>
      </w:tr>
      <w:tr>
        <w:trPr>
          <w:trHeight w:val="155"/>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2,122,572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2,141,623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2,173,126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1,989,218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1,919,782</w:t>
            </w:r>
          </w:p>
        </w:tc>
      </w:tr>
      <w:tr>
        <w:trPr>
          <w:trHeight w:val="151"/>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Mortgage warehouse lines of credit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439,677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589,706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522,290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528,781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472,968</w:t>
            </w:r>
          </w:p>
        </w:tc>
      </w:tr>
      <w:tr>
        <w:trPr>
          <w:trHeight w:val="155"/>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18,518</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18,204</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18,635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20,033</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20,395</w:t>
            </w:r>
          </w:p>
        </w:tc>
      </w:tr>
      <w:tr>
        <w:trPr>
          <w:trHeight w:val="14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Total LHFI</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8,094,172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8,073,577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7,864,221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7,670,917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7,537,099</w:t>
            </w:r>
          </w:p>
        </w:tc>
      </w:tr>
      <w:tr>
        <w:trPr>
          <w:trHeight w:val="153"/>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Less: ALCL</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98,378</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98,188</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99,015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96,782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96,259</w:t>
            </w:r>
          </w:p>
        </w:tc>
      </w:tr>
      <w:tr>
        <w:trPr>
          <w:trHeight w:val="160"/>
        </w:trPr>
        <w:tc>
          <w:tcPr>
            <w:tcW w:w="3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LHFI, net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7,995,794</w:t>
            </w:r>
          </w:p>
        </w:tc>
        <w:tc>
          <w:tcPr>
            <w:tcW w:w="10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7,975,389</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7,765,206</w:t>
            </w:r>
          </w:p>
        </w:tc>
        <w:tc>
          <w:tcPr>
            <w:tcW w:w="10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7,574,135</w:t>
            </w:r>
          </w:p>
        </w:tc>
        <w:tc>
          <w:tcPr>
            <w:tcW w:w="10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7,440,840</w:t>
            </w:r>
          </w:p>
        </w:tc>
      </w:tr>
      <w:tr>
        <w:trPr>
          <w:trHeight w:val="153"/>
        </w:trPr>
        <w:tc>
          <w:tcPr>
            <w:tcW w:w="37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r>
      <w:tr>
        <w:trPr>
          <w:trHeight w:val="153"/>
        </w:trPr>
        <w:tc>
          <w:tcPr>
            <w:tcW w:w="3780" w:type="dxa"/>
            <w:vAlign w:val="bottom"/>
          </w:tcPr>
          <w:p>
            <w:pPr>
              <w:spacing w:after="0" w:line="153" w:lineRule="exact"/>
              <w:rPr>
                <w:sz w:val="20"/>
                <w:szCs w:val="20"/>
                <w:color w:val="auto"/>
              </w:rPr>
            </w:pPr>
            <w:r>
              <w:rPr>
                <w:rFonts w:ascii="Times New Roman" w:cs="Times New Roman" w:eastAsia="Times New Roman" w:hAnsi="Times New Roman"/>
                <w:sz w:val="11"/>
                <w:szCs w:val="11"/>
                <w:b w:val="1"/>
                <w:bCs w:val="1"/>
                <w:color w:val="auto"/>
              </w:rPr>
              <w:t>Nonperforming assets</w:t>
            </w:r>
            <w:r>
              <w:rPr>
                <w:rFonts w:ascii="Times New Roman" w:cs="Times New Roman" w:eastAsia="Times New Roman" w:hAnsi="Times New Roman"/>
                <w:sz w:val="14"/>
                <w:szCs w:val="14"/>
                <w:b w:val="1"/>
                <w:bCs w:val="1"/>
                <w:color w:val="auto"/>
                <w:vertAlign w:val="superscript"/>
              </w:rPr>
              <w:t>(1)</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Nonperforming LHFI</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1"/>
        </w:trPr>
        <w:tc>
          <w:tcPr>
            <w:tcW w:w="37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Commercial real estate</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9,773</w:t>
            </w:r>
          </w:p>
        </w:tc>
        <w:tc>
          <w:tcPr>
            <w:tcW w:w="10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15,479</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19,891</w:t>
            </w:r>
          </w:p>
        </w:tc>
        <w:tc>
          <w:tcPr>
            <w:tcW w:w="10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13,212</w:t>
            </w:r>
          </w:p>
        </w:tc>
        <w:tc>
          <w:tcPr>
            <w:tcW w:w="10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11,736</w:t>
            </w:r>
          </w:p>
        </w:tc>
      </w:tr>
      <w:tr>
        <w:trPr>
          <w:trHeight w:val="155"/>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Construction/land/land development</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15,319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16,365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19,427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17,047</w:t>
            </w:r>
          </w:p>
        </w:tc>
      </w:tr>
      <w:tr>
        <w:trPr>
          <w:trHeight w:val="151"/>
        </w:trPr>
        <w:tc>
          <w:tcPr>
            <w:tcW w:w="37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Single-family residential real estate</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37,100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35,595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39,480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41,964</w:t>
            </w:r>
          </w:p>
        </w:tc>
      </w:tr>
      <w:tr>
        <w:trPr>
          <w:trHeight w:val="155"/>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Multifamily residential real estate</w:t>
            </w: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2,404</w:t>
            </w:r>
          </w:p>
        </w:tc>
      </w:tr>
      <w:tr>
        <w:trPr>
          <w:trHeight w:val="151"/>
        </w:trPr>
        <w:tc>
          <w:tcPr>
            <w:tcW w:w="37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10,213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10,074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11,919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15,043</w:t>
            </w:r>
          </w:p>
        </w:tc>
      </w:tr>
      <w:tr>
        <w:trPr>
          <w:trHeight w:val="155"/>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r>
      <w:tr>
        <w:trPr>
          <w:trHeight w:val="14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Total nonperforming LHFI</w:t>
            </w: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72,461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81,184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88,282</w:t>
            </w:r>
          </w:p>
        </w:tc>
      </w:tr>
      <w:tr>
        <w:trPr>
          <w:trHeight w:val="155"/>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real estate owned/repossessed assets</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2,641</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759</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w:t>
            </w:r>
          </w:p>
        </w:tc>
      </w:tr>
      <w:tr>
        <w:trPr>
          <w:trHeight w:val="140"/>
        </w:trPr>
        <w:tc>
          <w:tcPr>
            <w:tcW w:w="3780" w:type="dxa"/>
            <w:vAlign w:val="bottom"/>
            <w:tcBorders>
              <w:bottom w:val="single" w:sz="8" w:color="CCEEFF"/>
            </w:tcBorders>
          </w:tcPr>
          <w:p>
            <w:pPr>
              <w:ind w:left="140"/>
              <w:spacing w:after="0" w:line="124" w:lineRule="exact"/>
              <w:rPr>
                <w:sz w:val="20"/>
                <w:szCs w:val="20"/>
                <w:color w:val="auto"/>
              </w:rPr>
            </w:pPr>
            <w:r>
              <w:rPr>
                <w:rFonts w:ascii="Times New Roman" w:cs="Times New Roman" w:eastAsia="Times New Roman" w:hAnsi="Times New Roman"/>
                <w:sz w:val="11"/>
                <w:szCs w:val="11"/>
                <w:b w:val="1"/>
                <w:bCs w:val="1"/>
                <w:color w:val="auto"/>
              </w:rPr>
              <w:t>Total nonperforming assets</w:t>
            </w:r>
          </w:p>
        </w:tc>
        <w:tc>
          <w:tcPr>
            <w:tcW w:w="220" w:type="dxa"/>
            <w:vAlign w:val="bottom"/>
            <w:tcBorders>
              <w:bottom w:val="single" w:sz="8" w:color="auto"/>
            </w:tcBorders>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75,102</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79,281</w:t>
            </w:r>
          </w:p>
        </w:tc>
        <w:tc>
          <w:tcPr>
            <w:tcW w:w="320" w:type="dxa"/>
            <w:vAlign w:val="bottom"/>
            <w:tcBorders>
              <w:bottom w:val="single" w:sz="8" w:color="auto"/>
            </w:tcBorders>
            <w:gridSpan w:val="3"/>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88,273</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81,878</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88,859</w:t>
            </w:r>
          </w:p>
        </w:tc>
      </w:tr>
      <w:tr>
        <w:trPr>
          <w:trHeight w:val="15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Classified assets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148,679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144,410</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154,599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148,322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138,910</w:t>
            </w:r>
          </w:p>
        </w:tc>
      </w:tr>
      <w:tr>
        <w:trPr>
          <w:trHeight w:val="151"/>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Past due 30 to 89 days and still accruing</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14,764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7,739</w:t>
            </w:r>
          </w:p>
        </w:tc>
      </w:tr>
      <w:tr>
        <w:trPr>
          <w:trHeight w:val="182"/>
        </w:trPr>
        <w:tc>
          <w:tcPr>
            <w:tcW w:w="3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51"/>
        </w:trPr>
        <w:tc>
          <w:tcPr>
            <w:tcW w:w="3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Allowance for loan credit losses</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5"/>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at beginning of period</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98,188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99,015</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96,782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96,259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92,426</w:t>
            </w:r>
          </w:p>
        </w:tc>
      </w:tr>
      <w:tr>
        <w:trPr>
          <w:trHeight w:val="151"/>
        </w:trPr>
        <w:tc>
          <w:tcPr>
            <w:tcW w:w="37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Provision for loan credit losses</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35,216</w:t>
            </w:r>
          </w:p>
        </w:tc>
      </w:tr>
      <w:tr>
        <w:trPr>
          <w:trHeight w:val="155"/>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Loans charged off</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32,206</w:t>
            </w:r>
          </w:p>
        </w:tc>
      </w:tr>
      <w:tr>
        <w:trPr>
          <w:trHeight w:val="151"/>
        </w:trPr>
        <w:tc>
          <w:tcPr>
            <w:tcW w:w="3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Loan recoveries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2,042</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823</w:t>
            </w:r>
          </w:p>
        </w:tc>
      </w:tr>
      <w:tr>
        <w:trPr>
          <w:trHeight w:val="142"/>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charge-offs</w:t>
            </w: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2,661</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2,777</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3,170</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31,383</w:t>
            </w: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Balance at end of period</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98,378</w:t>
            </w:r>
          </w:p>
        </w:tc>
        <w:tc>
          <w:tcPr>
            <w:tcW w:w="10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98,188</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99,015</w:t>
            </w:r>
          </w:p>
        </w:tc>
        <w:tc>
          <w:tcPr>
            <w:tcW w:w="10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96,782</w:t>
            </w:r>
          </w:p>
        </w:tc>
        <w:tc>
          <w:tcPr>
            <w:tcW w:w="10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96,259</w:t>
            </w:r>
          </w:p>
        </w:tc>
      </w:tr>
      <w:tr>
        <w:trPr>
          <w:trHeight w:val="20"/>
        </w:trPr>
        <w:tc>
          <w:tcPr>
            <w:tcW w:w="3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0"/>
          </w:cols>
          <w:pgMar w:left="300" w:top="125" w:right="299" w:bottom="1440" w:gutter="0" w:footer="0" w:header="0"/>
        </w:sectPr>
      </w:pPr>
    </w:p>
    <w:bookmarkStart w:id="16" w:name="page17"/>
    <w:bookmarkEnd w:id="1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Origin Bancorp,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Loan Data - Continued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0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5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At and For the Three Months Ended</w:t>
            </w: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r>
      <w:tr>
        <w:trPr>
          <w:trHeight w:val="108"/>
        </w:trPr>
        <w:tc>
          <w:tcPr>
            <w:tcW w:w="3560" w:type="dxa"/>
            <w:vAlign w:val="bottom"/>
          </w:tcPr>
          <w:p>
            <w:pPr>
              <w:spacing w:after="0"/>
              <w:rPr>
                <w:sz w:val="9"/>
                <w:szCs w:val="9"/>
                <w:color w:val="auto"/>
              </w:rPr>
            </w:pPr>
          </w:p>
        </w:tc>
        <w:tc>
          <w:tcPr>
            <w:tcW w:w="1580" w:type="dxa"/>
            <w:vAlign w:val="bottom"/>
            <w:gridSpan w:val="2"/>
          </w:tcPr>
          <w:p>
            <w:pPr>
              <w:ind w:left="420"/>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440" w:type="dxa"/>
            <w:vAlign w:val="bottom"/>
          </w:tcPr>
          <w:p>
            <w:pPr>
              <w:jc w:val="right"/>
              <w:ind w:right="466"/>
              <w:spacing w:after="0" w:line="10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gridSpan w:val="3"/>
          </w:tcPr>
          <w:p>
            <w:pPr>
              <w:jc w:val="center"/>
              <w:ind w:right="3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March 31,</w:t>
            </w:r>
          </w:p>
        </w:tc>
        <w:tc>
          <w:tcPr>
            <w:tcW w:w="134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480" w:type="dxa"/>
            <w:vAlign w:val="bottom"/>
          </w:tcPr>
          <w:p>
            <w:pPr>
              <w:jc w:val="right"/>
              <w:ind w:right="366"/>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42"/>
        </w:trPr>
        <w:tc>
          <w:tcPr>
            <w:tcW w:w="3560" w:type="dxa"/>
            <w:vAlign w:val="bottom"/>
          </w:tcPr>
          <w:p>
            <w:pPr>
              <w:spacing w:after="0"/>
              <w:rPr>
                <w:sz w:val="12"/>
                <w:szCs w:val="12"/>
                <w:color w:val="auto"/>
              </w:rPr>
            </w:pPr>
          </w:p>
        </w:tc>
        <w:tc>
          <w:tcPr>
            <w:tcW w:w="1480" w:type="dxa"/>
            <w:vAlign w:val="bottom"/>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2"/>
                <w:szCs w:val="12"/>
                <w:color w:val="auto"/>
              </w:rPr>
            </w:pPr>
          </w:p>
        </w:tc>
        <w:tc>
          <w:tcPr>
            <w:tcW w:w="1440" w:type="dxa"/>
            <w:vAlign w:val="bottom"/>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580" w:type="dxa"/>
            <w:vAlign w:val="bottom"/>
            <w:gridSpan w:val="3"/>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1480" w:type="dxa"/>
            <w:vAlign w:val="bottom"/>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33"/>
        </w:trPr>
        <w:tc>
          <w:tcPr>
            <w:tcW w:w="35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Credit quality ratios</w:t>
            </w:r>
          </w:p>
        </w:tc>
        <w:tc>
          <w:tcPr>
            <w:tcW w:w="1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r>
      <w:tr>
        <w:trPr>
          <w:trHeight w:val="155"/>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nonperforming assets to total assets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0.74 %</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0.77 %</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0.87 %</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0.84 %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0.91 %</w:t>
            </w:r>
          </w:p>
        </w:tc>
      </w:tr>
      <w:tr>
        <w:trPr>
          <w:trHeight w:val="151"/>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Total nonperforming assets to loans &amp; OREO</w:t>
            </w: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0.93</w:t>
            </w:r>
          </w:p>
        </w:tc>
        <w:tc>
          <w:tcPr>
            <w:tcW w:w="10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0.98</w:t>
            </w:r>
          </w:p>
        </w:tc>
        <w:tc>
          <w:tcPr>
            <w:tcW w:w="15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1.12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Pr>
          <w:p>
            <w:pPr>
              <w:spacing w:after="0"/>
              <w:rPr>
                <w:sz w:val="13"/>
                <w:szCs w:val="13"/>
                <w:color w:val="auto"/>
              </w:rPr>
            </w:pP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1.18</w:t>
            </w:r>
          </w:p>
        </w:tc>
      </w:tr>
      <w:tr>
        <w:trPr>
          <w:trHeight w:val="155"/>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Nonperforming LHFI to LHFI</w:t>
            </w:r>
          </w:p>
        </w:tc>
        <w:tc>
          <w:tcPr>
            <w:tcW w:w="1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0.90</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0.97</w:t>
            </w:r>
          </w:p>
        </w:tc>
        <w:tc>
          <w:tcPr>
            <w:tcW w:w="1580" w:type="dxa"/>
            <w:vAlign w:val="bottom"/>
            <w:gridSpan w:val="3"/>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1.17</w:t>
            </w:r>
          </w:p>
        </w:tc>
      </w:tr>
      <w:tr>
        <w:trPr>
          <w:trHeight w:val="151"/>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Past due 30 to 89 days and still accruing to LHFI</w:t>
            </w: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0.13</w:t>
            </w:r>
          </w:p>
        </w:tc>
        <w:tc>
          <w:tcPr>
            <w:tcW w:w="10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0.06</w:t>
            </w:r>
          </w:p>
        </w:tc>
        <w:tc>
          <w:tcPr>
            <w:tcW w:w="15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0.22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0.19</w:t>
            </w:r>
          </w:p>
        </w:tc>
        <w:tc>
          <w:tcPr>
            <w:tcW w:w="100" w:type="dxa"/>
            <w:vAlign w:val="bottom"/>
          </w:tcPr>
          <w:p>
            <w:pPr>
              <w:spacing w:after="0"/>
              <w:rPr>
                <w:sz w:val="13"/>
                <w:szCs w:val="13"/>
                <w:color w:val="auto"/>
              </w:rPr>
            </w:pP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0.10</w:t>
            </w:r>
          </w:p>
        </w:tc>
      </w:tr>
      <w:tr>
        <w:trPr>
          <w:trHeight w:val="155"/>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ALCL to nonperforming LHFI</w:t>
            </w:r>
          </w:p>
        </w:tc>
        <w:tc>
          <w:tcPr>
            <w:tcW w:w="1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135.77</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125.05</w:t>
            </w:r>
          </w:p>
        </w:tc>
        <w:tc>
          <w:tcPr>
            <w:tcW w:w="1580" w:type="dxa"/>
            <w:vAlign w:val="bottom"/>
            <w:gridSpan w:val="3"/>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113.46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119.21</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109.04</w:t>
            </w:r>
          </w:p>
        </w:tc>
      </w:tr>
      <w:tr>
        <w:trPr>
          <w:trHeight w:val="151"/>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ALCL to total LHFI</w:t>
            </w: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1.22</w:t>
            </w:r>
          </w:p>
        </w:tc>
        <w:tc>
          <w:tcPr>
            <w:tcW w:w="15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3"/>
                <w:szCs w:val="13"/>
                <w:color w:val="auto"/>
              </w:rPr>
            </w:pP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1.28</w:t>
            </w:r>
          </w:p>
        </w:tc>
      </w:tr>
      <w:tr>
        <w:trPr>
          <w:trHeight w:val="155"/>
        </w:trPr>
        <w:tc>
          <w:tcPr>
            <w:tcW w:w="35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 xml:space="preserve">ALCL to total LHFI excl. mortgage warehouse lines of credit </w:t>
            </w:r>
            <w:r>
              <w:rPr>
                <w:rFonts w:ascii="Times New Roman" w:cs="Times New Roman" w:eastAsia="Times New Roman" w:hAnsi="Times New Roman"/>
                <w:sz w:val="14"/>
                <w:szCs w:val="14"/>
                <w:color w:val="auto"/>
                <w:vertAlign w:val="superscript"/>
              </w:rPr>
              <w:t>(2)</w:t>
            </w:r>
          </w:p>
        </w:tc>
        <w:tc>
          <w:tcPr>
            <w:tcW w:w="1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1.27</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1.30</w:t>
            </w:r>
          </w:p>
        </w:tc>
        <w:tc>
          <w:tcPr>
            <w:tcW w:w="1580" w:type="dxa"/>
            <w:vAlign w:val="bottom"/>
            <w:gridSpan w:val="3"/>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1.35</w:t>
            </w:r>
          </w:p>
        </w:tc>
      </w:tr>
      <w:tr>
        <w:trPr>
          <w:trHeight w:val="149"/>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Net charge-offs to total average LHFI (annualized)</w:t>
            </w: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0.13</w:t>
            </w:r>
          </w:p>
        </w:tc>
        <w:tc>
          <w:tcPr>
            <w:tcW w:w="100" w:type="dxa"/>
            <w:vAlign w:val="bottom"/>
          </w:tcPr>
          <w:p>
            <w:pPr>
              <w:spacing w:after="0"/>
              <w:rPr>
                <w:sz w:val="12"/>
                <w:szCs w:val="12"/>
                <w:color w:val="auto"/>
              </w:rPr>
            </w:pPr>
          </w:p>
        </w:tc>
        <w:tc>
          <w:tcPr>
            <w:tcW w:w="1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0.02</w:t>
            </w:r>
          </w:p>
        </w:tc>
        <w:tc>
          <w:tcPr>
            <w:tcW w:w="15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0.15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0.17</w:t>
            </w:r>
          </w:p>
        </w:tc>
        <w:tc>
          <w:tcPr>
            <w:tcW w:w="10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1.65</w:t>
            </w:r>
          </w:p>
        </w:tc>
      </w:tr>
    </w:tbl>
    <w:p>
      <w:pPr>
        <w:spacing w:after="0" w:line="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____________________________</w:t>
      </w:r>
    </w:p>
    <w:p>
      <w:pPr>
        <w:spacing w:after="0" w:line="12" w:lineRule="exact"/>
        <w:rPr>
          <w:sz w:val="20"/>
          <w:szCs w:val="20"/>
          <w:color w:val="auto"/>
        </w:rPr>
      </w:pPr>
    </w:p>
    <w:p>
      <w:pPr>
        <w:ind w:left="208" w:hanging="208"/>
        <w:spacing w:after="0"/>
        <w:tabs>
          <w:tab w:leader="none" w:pos="208" w:val="left"/>
        </w:tabs>
        <w:numPr>
          <w:ilvl w:val="0"/>
          <w:numId w:val="15"/>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Nonperforming assets consist of nonperforming/nonaccrual loans and property acquired through foreclosures or repossession, as well as bank-owned property not in use and listed for sale, if any.</w:t>
      </w:r>
    </w:p>
    <w:p>
      <w:pPr>
        <w:ind w:left="208" w:right="520" w:hanging="208"/>
        <w:spacing w:after="0" w:line="221" w:lineRule="auto"/>
        <w:tabs>
          <w:tab w:leader="none" w:pos="200" w:val="left"/>
        </w:tabs>
        <w:numPr>
          <w:ilvl w:val="0"/>
          <w:numId w:val="1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ALCL to total LHFI excl. mortgage warehouse lines of credit, is calculated by excluding the ALCL for mortgage warehouse lines of credit loans from the total LHFI ALCL in the numerator and excluding the mortgage warehouse lines of credit loans from the LHFI in the denominator. Due to their low-risk profile, mortgage warehouse lines of credit loans require a disproportionately low allocation of the ALCL.</w:t>
      </w:r>
    </w:p>
    <w:p>
      <w:pPr>
        <w:spacing w:after="0" w:line="3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308"/>
          </w:cols>
          <w:pgMar w:left="292" w:top="125" w:right="299" w:bottom="1440" w:gutter="0" w:footer="0" w:header="0"/>
        </w:sectPr>
      </w:pPr>
    </w:p>
    <w:bookmarkStart w:id="17" w:name="page18"/>
    <w:bookmarkEnd w:id="1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Origin Bancorp,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Average Balances and Yields/Rates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42"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2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3"/>
        </w:trPr>
        <w:tc>
          <w:tcPr>
            <w:tcW w:w="2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95"/>
              </w:rPr>
              <w:t>September 30, 2026</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June 30, 2026</w:t>
            </w: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September 30, 2025</w:t>
            </w: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42"/>
        </w:trPr>
        <w:tc>
          <w:tcPr>
            <w:tcW w:w="2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Average Balance</w:t>
            </w: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4"/>
              </w:rPr>
              <w:t>Income/Expense</w:t>
            </w:r>
          </w:p>
        </w:tc>
        <w:tc>
          <w:tcPr>
            <w:tcW w:w="100" w:type="dxa"/>
            <w:vAlign w:val="bottom"/>
          </w:tcPr>
          <w:p>
            <w:pPr>
              <w:spacing w:after="0"/>
              <w:rPr>
                <w:sz w:val="12"/>
                <w:szCs w:val="12"/>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0"/>
                <w:szCs w:val="10"/>
                <w:b w:val="1"/>
                <w:bCs w:val="1"/>
                <w:color w:val="auto"/>
              </w:rPr>
              <w:t>Yield/Rate</w:t>
            </w:r>
            <w:r>
              <w:rPr>
                <w:rFonts w:ascii="Times New Roman" w:cs="Times New Roman" w:eastAsia="Times New Roman" w:hAnsi="Times New Roman"/>
                <w:sz w:val="12"/>
                <w:szCs w:val="12"/>
                <w:b w:val="1"/>
                <w:bCs w:val="1"/>
                <w:color w:val="auto"/>
                <w:vertAlign w:val="superscript"/>
              </w:rPr>
              <w:t>(1)</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7"/>
              </w:rPr>
              <w:t>Average Balance</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Income/Expense</w:t>
            </w:r>
          </w:p>
        </w:tc>
        <w:tc>
          <w:tcPr>
            <w:tcW w:w="80" w:type="dxa"/>
            <w:vAlign w:val="bottom"/>
          </w:tcPr>
          <w:p>
            <w:pPr>
              <w:spacing w:after="0"/>
              <w:rPr>
                <w:sz w:val="12"/>
                <w:szCs w:val="12"/>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0"/>
                <w:szCs w:val="10"/>
                <w:b w:val="1"/>
                <w:bCs w:val="1"/>
                <w:color w:val="auto"/>
              </w:rPr>
              <w:t>Yield/Rate</w:t>
            </w:r>
            <w:r>
              <w:rPr>
                <w:rFonts w:ascii="Times New Roman" w:cs="Times New Roman" w:eastAsia="Times New Roman" w:hAnsi="Times New Roman"/>
                <w:sz w:val="12"/>
                <w:szCs w:val="12"/>
                <w:b w:val="1"/>
                <w:bCs w:val="1"/>
                <w:color w:val="auto"/>
                <w:vertAlign w:val="superscript"/>
              </w:rPr>
              <w:t>(1)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97"/>
              </w:rPr>
              <w:t>Average Balance</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4"/>
              </w:rPr>
              <w:t>Income/Expense</w:t>
            </w:r>
          </w:p>
        </w:tc>
        <w:tc>
          <w:tcPr>
            <w:tcW w:w="60" w:type="dxa"/>
            <w:vAlign w:val="bottom"/>
          </w:tcPr>
          <w:p>
            <w:pPr>
              <w:spacing w:after="0"/>
              <w:rPr>
                <w:sz w:val="12"/>
                <w:szCs w:val="12"/>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0"/>
                <w:szCs w:val="10"/>
                <w:b w:val="1"/>
                <w:bCs w:val="1"/>
                <w:color w:val="auto"/>
              </w:rPr>
              <w:t>Yield/Rate</w:t>
            </w:r>
            <w:r>
              <w:rPr>
                <w:rFonts w:ascii="Times New Roman" w:cs="Times New Roman" w:eastAsia="Times New Roman" w:hAnsi="Times New Roman"/>
                <w:sz w:val="12"/>
                <w:szCs w:val="12"/>
                <w:b w:val="1"/>
                <w:bCs w:val="1"/>
                <w:color w:val="auto"/>
                <w:vertAlign w:val="superscript"/>
              </w:rPr>
              <w:t>(1)</w:t>
            </w:r>
          </w:p>
        </w:tc>
      </w:tr>
      <w:tr>
        <w:trPr>
          <w:trHeight w:val="152"/>
        </w:trPr>
        <w:tc>
          <w:tcPr>
            <w:tcW w:w="27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gridSpan w:val="4"/>
          </w:tcPr>
          <w:p>
            <w:pPr>
              <w:jc w:val="right"/>
              <w:ind w:right="72"/>
              <w:spacing w:after="0"/>
              <w:rPr>
                <w:sz w:val="20"/>
                <w:szCs w:val="20"/>
                <w:color w:val="auto"/>
              </w:rPr>
            </w:pPr>
            <w:r>
              <w:rPr>
                <w:rFonts w:ascii="Times New Roman" w:cs="Times New Roman" w:eastAsia="Times New Roman" w:hAnsi="Times New Roman"/>
                <w:sz w:val="10"/>
                <w:szCs w:val="10"/>
                <w:color w:val="auto"/>
                <w:w w:val="94"/>
              </w:rPr>
              <w:t>(Dollars in thousands)</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3"/>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Commercial real estate</w:t>
            </w:r>
          </w:p>
        </w:tc>
        <w:tc>
          <w:tcPr>
            <w:tcW w:w="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2,643,416</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39,273</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w w:val="98"/>
              </w:rPr>
              <w:t>5.89 %</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2,563,643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37,196</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w w:val="91"/>
              </w:rPr>
              <w:t>5.82 %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2,450,148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36,101</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w w:val="98"/>
              </w:rPr>
              <w:t>5.85 %</w:t>
            </w:r>
          </w:p>
        </w:tc>
      </w:tr>
      <w:tr>
        <w:trPr>
          <w:trHeight w:val="135"/>
        </w:trPr>
        <w:tc>
          <w:tcPr>
            <w:tcW w:w="27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Construction/land/land development</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742,095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12,654</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6.77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675,151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11,603</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6.89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644,455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11,454</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7.05</w:t>
            </w:r>
          </w:p>
        </w:tc>
      </w:tr>
      <w:tr>
        <w:trPr>
          <w:trHeight w:val="153"/>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Single-family residential real estate</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1,432,824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19,917</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5.51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1,428,511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19,627</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5.51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1,460,412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20,004</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5.43</w:t>
            </w:r>
          </w:p>
        </w:tc>
      </w:tr>
      <w:tr>
        <w:trPr>
          <w:trHeight w:val="136"/>
        </w:trPr>
        <w:tc>
          <w:tcPr>
            <w:tcW w:w="27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Multifamily residential real estate</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578,468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9,086</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6.23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572,052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8,688</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6.09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532,354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8,428</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6.28</w:t>
            </w:r>
          </w:p>
        </w:tc>
      </w:tr>
      <w:tr>
        <w:trPr>
          <w:trHeight w:val="153"/>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Commercial and industrial ("C&amp;I")</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2,164,704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36,393</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6.67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2,212,814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36,675</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6.65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1,994,755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36,283</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7.22</w:t>
            </w:r>
          </w:p>
        </w:tc>
      </w:tr>
      <w:tr>
        <w:trPr>
          <w:trHeight w:val="136"/>
        </w:trPr>
        <w:tc>
          <w:tcPr>
            <w:tcW w:w="27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Mortgage warehouse lines of credit</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479,308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7,776</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6.44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483,340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7,685</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6.38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420,848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7,393</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6.97</w:t>
            </w:r>
          </w:p>
        </w:tc>
      </w:tr>
      <w:tr>
        <w:trPr>
          <w:trHeight w:val="152"/>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Consumer</w:t>
            </w: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18,859</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336</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7.07</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19,158</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351</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7.35</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20,652</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385</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7.40</w:t>
            </w:r>
          </w:p>
        </w:tc>
      </w:tr>
      <w:tr>
        <w:trPr>
          <w:trHeight w:val="125"/>
        </w:trPr>
        <w:tc>
          <w:tcPr>
            <w:tcW w:w="274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LHFI</w:t>
            </w:r>
          </w:p>
        </w:tc>
        <w:tc>
          <w:tcPr>
            <w:tcW w:w="1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8,059,674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125,435</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6.17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7,954,669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121,825</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6.14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7,523,624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120,048</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6.33</w:t>
            </w:r>
          </w:p>
        </w:tc>
      </w:tr>
      <w:tr>
        <w:trPr>
          <w:trHeight w:val="153"/>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Loans held for sale</w:t>
            </w: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1,201</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7.60</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2,161</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5.94</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2,918</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6.53</w:t>
            </w:r>
          </w:p>
        </w:tc>
      </w:tr>
      <w:tr>
        <w:trPr>
          <w:trHeight w:val="124"/>
        </w:trPr>
        <w:tc>
          <w:tcPr>
            <w:tcW w:w="274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Loans receivable</w:t>
            </w:r>
          </w:p>
        </w:tc>
        <w:tc>
          <w:tcPr>
            <w:tcW w:w="1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8,060,875</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125,458</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6.17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7,956,830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121,857</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6.14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7,526,542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120,096</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6.33</w:t>
            </w:r>
          </w:p>
        </w:tc>
      </w:tr>
      <w:tr>
        <w:trPr>
          <w:trHeight w:val="153"/>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Investment securities-taxable</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969,386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8,844</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3.62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992,478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9,039</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3.65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951,758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8,767</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3.65</w:t>
            </w:r>
          </w:p>
        </w:tc>
      </w:tr>
      <w:tr>
        <w:trPr>
          <w:trHeight w:val="136"/>
        </w:trPr>
        <w:tc>
          <w:tcPr>
            <w:tcW w:w="27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Investment securities-nontaxable</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196,079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1,632</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3.30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185,851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1,517</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3.27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176,051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1,523</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3.43</w:t>
            </w:r>
          </w:p>
        </w:tc>
      </w:tr>
      <w:tr>
        <w:trPr>
          <w:trHeight w:val="153"/>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w w:val="97"/>
              </w:rPr>
              <w:t>Non-marketable equity securities held in other financial institutions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37,256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574</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0"/>
                <w:szCs w:val="10"/>
                <w:color w:val="auto"/>
              </w:rPr>
              <w:t>6.11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39,526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392</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3.98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34,652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542</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6.21</w:t>
            </w:r>
          </w:p>
        </w:tc>
      </w:tr>
      <w:tr>
        <w:trPr>
          <w:trHeight w:val="135"/>
        </w:trPr>
        <w:tc>
          <w:tcPr>
            <w:tcW w:w="2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Interest-earning balances due from banks</w:t>
            </w: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375,478</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3,527</w:t>
            </w:r>
          </w:p>
        </w:tc>
        <w:tc>
          <w:tcPr>
            <w:tcW w:w="92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0"/>
                <w:szCs w:val="10"/>
                <w:color w:val="auto"/>
              </w:rPr>
              <w:t>3.73</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309,510</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2,918</w:t>
            </w:r>
          </w:p>
        </w:tc>
        <w:tc>
          <w:tcPr>
            <w:tcW w:w="90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0"/>
                <w:szCs w:val="10"/>
                <w:color w:val="auto"/>
              </w:rPr>
              <w:t>3.78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473,352</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5,211</w:t>
            </w:r>
          </w:p>
        </w:tc>
        <w:tc>
          <w:tcPr>
            <w:tcW w:w="90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0"/>
                <w:szCs w:val="10"/>
                <w:color w:val="auto"/>
              </w:rPr>
              <w:t>4.37</w:t>
            </w:r>
          </w:p>
        </w:tc>
      </w:tr>
      <w:tr>
        <w:trPr>
          <w:trHeight w:val="142"/>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b w:val="1"/>
                <w:bCs w:val="1"/>
                <w:color w:val="auto"/>
              </w:rPr>
              <w:t>Total interest-earning assets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9,639,074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140,035</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5.76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9,484,195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135,723</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5.74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9,162,355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136,139</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5.89</w:t>
            </w:r>
          </w:p>
        </w:tc>
      </w:tr>
      <w:tr>
        <w:trPr>
          <w:trHeight w:val="136"/>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Noninterest-earning assets</w:t>
            </w: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554,817</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555,512</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565,059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r>
      <w:tr>
        <w:trPr>
          <w:trHeight w:val="158"/>
        </w:trPr>
        <w:tc>
          <w:tcPr>
            <w:tcW w:w="2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10,193,891</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10,039,707</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9,727,414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r>
      <w:tr>
        <w:trPr>
          <w:trHeight w:val="153"/>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Liabilities and Shareholders’ Equity</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36"/>
        </w:trPr>
        <w:tc>
          <w:tcPr>
            <w:tcW w:w="27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Interest-bearing liabilities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35"/>
        </w:trPr>
        <w:tc>
          <w:tcPr>
            <w:tcW w:w="27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Interest-bearing demand deposits</w:t>
            </w: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1,812,819</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10,883</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w w:val="98"/>
              </w:rPr>
              <w:t>2.38 %</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1,892,759</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11,051</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w w:val="91"/>
              </w:rPr>
              <w:t>2.34 %</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1,827,758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13,170</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w w:val="98"/>
              </w:rPr>
              <w:t>2.86 %</w:t>
            </w:r>
          </w:p>
        </w:tc>
      </w:tr>
      <w:tr>
        <w:trPr>
          <w:trHeight w:val="153"/>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Money market deposits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3,637,422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26,427</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2.88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3,420,399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24,491</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2.87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3,369,582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29,695</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3.50</w:t>
            </w:r>
          </w:p>
        </w:tc>
      </w:tr>
      <w:tr>
        <w:trPr>
          <w:trHeight w:val="136"/>
        </w:trPr>
        <w:tc>
          <w:tcPr>
            <w:tcW w:w="2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Savings deposits</w:t>
            </w: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309,898</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918</w:t>
            </w:r>
          </w:p>
        </w:tc>
        <w:tc>
          <w:tcPr>
            <w:tcW w:w="92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0"/>
                <w:szCs w:val="10"/>
                <w:color w:val="auto"/>
              </w:rPr>
              <w:t>1.18</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304,088</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866</w:t>
            </w:r>
          </w:p>
        </w:tc>
        <w:tc>
          <w:tcPr>
            <w:tcW w:w="90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0"/>
                <w:szCs w:val="10"/>
                <w:color w:val="auto"/>
              </w:rPr>
              <w:t>1.14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314,112</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1,194</w:t>
            </w:r>
          </w:p>
        </w:tc>
        <w:tc>
          <w:tcPr>
            <w:tcW w:w="90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0"/>
                <w:szCs w:val="10"/>
                <w:color w:val="auto"/>
              </w:rPr>
              <w:t>1.51</w:t>
            </w:r>
          </w:p>
        </w:tc>
      </w:tr>
      <w:tr>
        <w:trPr>
          <w:trHeight w:val="142"/>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Savings and interest-bearing transaction accounts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5,760,139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38,228</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2.63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5,617,246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36,408</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2.60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5,511,452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44,059</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3.17</w:t>
            </w:r>
          </w:p>
        </w:tc>
      </w:tr>
      <w:tr>
        <w:trPr>
          <w:trHeight w:val="135"/>
        </w:trPr>
        <w:tc>
          <w:tcPr>
            <w:tcW w:w="2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Time deposits</w:t>
            </w: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764,344</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5,880</w:t>
            </w:r>
          </w:p>
        </w:tc>
        <w:tc>
          <w:tcPr>
            <w:tcW w:w="92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0"/>
                <w:szCs w:val="10"/>
                <w:color w:val="auto"/>
              </w:rPr>
              <w:t>3.05</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765,794</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5,593</w:t>
            </w:r>
          </w:p>
        </w:tc>
        <w:tc>
          <w:tcPr>
            <w:tcW w:w="90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0"/>
                <w:szCs w:val="10"/>
                <w:color w:val="auto"/>
              </w:rPr>
              <w:t>2.93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819,692</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6,967</w:t>
            </w:r>
          </w:p>
        </w:tc>
        <w:tc>
          <w:tcPr>
            <w:tcW w:w="90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0"/>
                <w:szCs w:val="10"/>
                <w:color w:val="auto"/>
              </w:rPr>
              <w:t>3.37</w:t>
            </w:r>
          </w:p>
        </w:tc>
      </w:tr>
      <w:tr>
        <w:trPr>
          <w:trHeight w:val="142"/>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b w:val="1"/>
                <w:bCs w:val="1"/>
                <w:color w:val="auto"/>
              </w:rPr>
              <w:t>Total interest-bearing deposits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6,524,483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44,108</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2.68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6,383,040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42,001</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2.64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6,331,144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51,026</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3.20</w:t>
            </w:r>
          </w:p>
        </w:tc>
      </w:tr>
      <w:tr>
        <w:trPr>
          <w:trHeight w:val="136"/>
        </w:trPr>
        <w:tc>
          <w:tcPr>
            <w:tcW w:w="27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FHLB advances and other borrowings</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57,246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543</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3.76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140,897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1,283</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3.65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30,702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3.53</w:t>
            </w:r>
          </w:p>
        </w:tc>
      </w:tr>
      <w:tr>
        <w:trPr>
          <w:trHeight w:val="152"/>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Subordinated indebtedness</w:t>
            </w: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16,608</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5.83</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16,582</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5.78</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89,692</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1,136</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5.02</w:t>
            </w:r>
          </w:p>
        </w:tc>
      </w:tr>
      <w:tr>
        <w:trPr>
          <w:trHeight w:val="125"/>
        </w:trPr>
        <w:tc>
          <w:tcPr>
            <w:tcW w:w="274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Total interest-bearing liabilities</w:t>
            </w:r>
          </w:p>
        </w:tc>
        <w:tc>
          <w:tcPr>
            <w:tcW w:w="1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6,598,337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44,895</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2.70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6,540,519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43,523</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2.67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6,451,538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52,435</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3.22</w:t>
            </w:r>
          </w:p>
        </w:tc>
      </w:tr>
      <w:tr>
        <w:trPr>
          <w:trHeight w:val="15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Noninterest-bearing liabilities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36"/>
        </w:trPr>
        <w:tc>
          <w:tcPr>
            <w:tcW w:w="27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Noninterest-bearing deposits</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2,160,353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2,080,382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1,901,116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2"/>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liabilities</w:t>
            </w: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147,406</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143,422</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147,329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25"/>
        </w:trPr>
        <w:tc>
          <w:tcPr>
            <w:tcW w:w="274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1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8,906,096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8,764,323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8,499,983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Shareholders’ Equity</w:t>
            </w: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1,287,795</w:t>
            </w: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1,275,384</w:t>
            </w: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1,227,431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7"/>
        </w:trPr>
        <w:tc>
          <w:tcPr>
            <w:tcW w:w="2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0"/>
                <w:szCs w:val="10"/>
                <w:b w:val="1"/>
                <w:bCs w:val="1"/>
                <w:color w:val="auto"/>
              </w:rPr>
              <w:t>Total liabilities and shareholders’ equity</w:t>
            </w: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10,193,891</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10,039,707</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9,727,414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r>
      <w:tr>
        <w:trPr>
          <w:trHeight w:val="126"/>
        </w:trPr>
        <w:tc>
          <w:tcPr>
            <w:tcW w:w="274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Net interest spread</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620"/>
              <w:spacing w:after="0" w:line="109" w:lineRule="exact"/>
              <w:rPr>
                <w:sz w:val="20"/>
                <w:szCs w:val="20"/>
                <w:color w:val="auto"/>
              </w:rPr>
            </w:pPr>
            <w:r>
              <w:rPr>
                <w:rFonts w:ascii="Times New Roman" w:cs="Times New Roman" w:eastAsia="Times New Roman" w:hAnsi="Times New Roman"/>
                <w:sz w:val="10"/>
                <w:szCs w:val="10"/>
                <w:color w:val="auto"/>
                <w:w w:val="98"/>
              </w:rPr>
              <w:t>3.06 %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ind w:left="620"/>
              <w:spacing w:after="0" w:line="109" w:lineRule="exact"/>
              <w:rPr>
                <w:sz w:val="20"/>
                <w:szCs w:val="20"/>
                <w:color w:val="auto"/>
              </w:rPr>
            </w:pPr>
            <w:r>
              <w:rPr>
                <w:rFonts w:ascii="Times New Roman" w:cs="Times New Roman" w:eastAsia="Times New Roman" w:hAnsi="Times New Roman"/>
                <w:sz w:val="10"/>
                <w:szCs w:val="10"/>
                <w:color w:val="auto"/>
                <w:w w:val="91"/>
              </w:rPr>
              <w:t>3.07 %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ind w:left="600"/>
              <w:spacing w:after="0" w:line="109" w:lineRule="exact"/>
              <w:rPr>
                <w:sz w:val="20"/>
                <w:szCs w:val="20"/>
                <w:color w:val="auto"/>
              </w:rPr>
            </w:pPr>
            <w:r>
              <w:rPr>
                <w:rFonts w:ascii="Times New Roman" w:cs="Times New Roman" w:eastAsia="Times New Roman" w:hAnsi="Times New Roman"/>
                <w:sz w:val="10"/>
                <w:szCs w:val="10"/>
                <w:color w:val="auto"/>
                <w:w w:val="98"/>
              </w:rPr>
              <w:t>2.67 %</w:t>
            </w:r>
          </w:p>
        </w:tc>
      </w:tr>
      <w:tr>
        <w:trPr>
          <w:trHeight w:val="176"/>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NIM</w:t>
            </w: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95,140</w:t>
            </w:r>
          </w:p>
        </w:tc>
        <w:tc>
          <w:tcPr>
            <w:tcW w:w="92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0"/>
                <w:szCs w:val="10"/>
                <w:color w:val="auto"/>
              </w:rPr>
              <w:t>3.92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92,200</w:t>
            </w:r>
          </w:p>
        </w:tc>
        <w:tc>
          <w:tcPr>
            <w:tcW w:w="90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0"/>
                <w:szCs w:val="10"/>
                <w:color w:val="auto"/>
              </w:rPr>
              <w:t>3.90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83,704</w:t>
            </w:r>
          </w:p>
        </w:tc>
        <w:tc>
          <w:tcPr>
            <w:tcW w:w="90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0"/>
                <w:szCs w:val="10"/>
                <w:color w:val="auto"/>
              </w:rPr>
              <w:t>3.62</w:t>
            </w:r>
          </w:p>
        </w:tc>
      </w:tr>
      <w:tr>
        <w:trPr>
          <w:trHeight w:val="149"/>
        </w:trPr>
        <w:tc>
          <w:tcPr>
            <w:tcW w:w="27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0"/>
                <w:szCs w:val="10"/>
                <w:color w:val="auto"/>
              </w:rPr>
              <w:t>NIM-FTE</w:t>
            </w:r>
            <w:r>
              <w:rPr>
                <w:rFonts w:ascii="Times New Roman" w:cs="Times New Roman" w:eastAsia="Times New Roman" w:hAnsi="Times New Roman"/>
                <w:sz w:val="12"/>
                <w:szCs w:val="12"/>
                <w:color w:val="auto"/>
                <w:vertAlign w:val="superscript"/>
              </w:rPr>
              <w:t>(2)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95,628</w:t>
            </w:r>
          </w:p>
        </w:tc>
        <w:tc>
          <w:tcPr>
            <w:tcW w:w="920" w:type="dxa"/>
            <w:vAlign w:val="bottom"/>
            <w:tcBorders>
              <w:top w:val="single" w:sz="8" w:color="CCEEFF"/>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3.94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92,668</w:t>
            </w:r>
          </w:p>
        </w:tc>
        <w:tc>
          <w:tcPr>
            <w:tcW w:w="900" w:type="dxa"/>
            <w:vAlign w:val="bottom"/>
            <w:tcBorders>
              <w:top w:val="single" w:sz="8" w:color="CCEEFF"/>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3.92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84,230</w:t>
            </w:r>
          </w:p>
        </w:tc>
        <w:tc>
          <w:tcPr>
            <w:tcW w:w="900" w:type="dxa"/>
            <w:vAlign w:val="bottom"/>
            <w:tcBorders>
              <w:top w:val="single" w:sz="8" w:color="CCEEFF"/>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3.65</w:t>
            </w:r>
          </w:p>
        </w:tc>
      </w:tr>
    </w:tbl>
    <w:p>
      <w:pPr>
        <w:spacing w:after="0" w:line="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____________________________</w:t>
      </w:r>
    </w:p>
    <w:p>
      <w:pPr>
        <w:spacing w:after="0" w:line="12" w:lineRule="exact"/>
        <w:rPr>
          <w:sz w:val="20"/>
          <w:szCs w:val="20"/>
          <w:color w:val="auto"/>
        </w:rPr>
      </w:pPr>
    </w:p>
    <w:p>
      <w:pPr>
        <w:ind w:left="208" w:hanging="208"/>
        <w:spacing w:after="0"/>
        <w:tabs>
          <w:tab w:leader="none" w:pos="208" w:val="left"/>
        </w:tabs>
        <w:numPr>
          <w:ilvl w:val="0"/>
          <w:numId w:val="16"/>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Yields/Rates are calculated on an actual/actual day count basis.</w:t>
      </w:r>
    </w:p>
    <w:p>
      <w:pPr>
        <w:ind w:left="208" w:hanging="208"/>
        <w:spacing w:after="0" w:line="203" w:lineRule="auto"/>
        <w:tabs>
          <w:tab w:leader="none" w:pos="208"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 order to present pre-tax income and resulting yields on tax-exempt investments comparable to those on taxable investments, a tax-equivalent adjustment has been computed. This adjustment also includes income tax credits received on Qualified School Construction Bonds.</w:t>
      </w:r>
    </w:p>
    <w:p>
      <w:pPr>
        <w:spacing w:after="0" w:line="1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308"/>
          </w:cols>
          <w:pgMar w:left="292" w:top="125" w:right="299" w:bottom="1440" w:gutter="0" w:footer="0" w:header="0"/>
        </w:sectPr>
      </w:pPr>
    </w:p>
    <w:bookmarkStart w:id="18" w:name="page19"/>
    <w:bookmarkEnd w:id="1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Origin Bancorp,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Notable Items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0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At and For the Three Months Ended</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gridSpan w:val="5"/>
          </w:tcPr>
          <w:p>
            <w:pPr>
              <w:jc w:val="center"/>
              <w:ind w:right="360"/>
              <w:spacing w:after="0" w:line="108" w:lineRule="exact"/>
              <w:rPr>
                <w:sz w:val="20"/>
                <w:szCs w:val="20"/>
                <w:color w:val="auto"/>
              </w:rPr>
            </w:pPr>
            <w:r>
              <w:rPr>
                <w:rFonts w:ascii="Times New Roman" w:cs="Times New Roman" w:eastAsia="Times New Roman" w:hAnsi="Times New Roman"/>
                <w:sz w:val="11"/>
                <w:szCs w:val="11"/>
                <w:b w:val="1"/>
                <w:bCs w:val="1"/>
                <w:color w:val="auto"/>
                <w:w w:val="98"/>
              </w:rPr>
              <w:t>September 30,</w:t>
            </w:r>
          </w:p>
        </w:tc>
        <w:tc>
          <w:tcPr>
            <w:tcW w:w="140" w:type="dxa"/>
            <w:vAlign w:val="bottom"/>
          </w:tcPr>
          <w:p>
            <w:pPr>
              <w:spacing w:after="0"/>
              <w:rPr>
                <w:sz w:val="9"/>
                <w:szCs w:val="9"/>
                <w:color w:val="auto"/>
              </w:rPr>
            </w:pPr>
          </w:p>
        </w:tc>
        <w:tc>
          <w:tcPr>
            <w:tcW w:w="980" w:type="dxa"/>
            <w:vAlign w:val="bottom"/>
            <w:gridSpan w:val="3"/>
          </w:tcPr>
          <w:p>
            <w:pPr>
              <w:jc w:val="center"/>
              <w:ind w:left="486"/>
              <w:spacing w:after="0" w:line="10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3"/>
          </w:tcPr>
          <w:p>
            <w:pPr>
              <w:ind w:left="520"/>
              <w:spacing w:after="0" w:line="108" w:lineRule="exact"/>
              <w:rPr>
                <w:sz w:val="20"/>
                <w:szCs w:val="20"/>
                <w:color w:val="auto"/>
              </w:rPr>
            </w:pPr>
            <w:r>
              <w:rPr>
                <w:rFonts w:ascii="Times New Roman" w:cs="Times New Roman" w:eastAsia="Times New Roman" w:hAnsi="Times New Roman"/>
                <w:sz w:val="11"/>
                <w:szCs w:val="11"/>
                <w:b w:val="1"/>
                <w:bCs w:val="1"/>
                <w:color w:val="auto"/>
                <w:w w:val="95"/>
              </w:rPr>
              <w:t>March 31,</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gridSpan w:val="5"/>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120" w:type="dxa"/>
            <w:vAlign w:val="bottom"/>
          </w:tcPr>
          <w:p>
            <w:pPr>
              <w:spacing w:after="0"/>
              <w:rPr>
                <w:sz w:val="9"/>
                <w:szCs w:val="9"/>
                <w:color w:val="auto"/>
              </w:rPr>
            </w:pPr>
          </w:p>
        </w:tc>
        <w:tc>
          <w:tcPr>
            <w:tcW w:w="1640" w:type="dxa"/>
            <w:vAlign w:val="bottom"/>
            <w:gridSpan w:val="4"/>
          </w:tcPr>
          <w:p>
            <w:pPr>
              <w:jc w:val="center"/>
              <w:ind w:right="8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September 30,</w:t>
            </w:r>
          </w:p>
        </w:tc>
        <w:tc>
          <w:tcPr>
            <w:tcW w:w="0" w:type="dxa"/>
            <w:vAlign w:val="bottom"/>
          </w:tcPr>
          <w:p>
            <w:pPr>
              <w:spacing w:after="0"/>
              <w:rPr>
                <w:sz w:val="1"/>
                <w:szCs w:val="1"/>
                <w:color w:val="auto"/>
              </w:rPr>
            </w:pPr>
          </w:p>
        </w:tc>
      </w:tr>
      <w:tr>
        <w:trPr>
          <w:trHeight w:val="143"/>
        </w:trPr>
        <w:tc>
          <w:tcPr>
            <w:tcW w:w="20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2026</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2026</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2026</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Impact</w:t>
            </w:r>
          </w:p>
        </w:tc>
        <w:tc>
          <w:tcPr>
            <w:tcW w:w="10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800" w:type="dxa"/>
            <w:vAlign w:val="bottom"/>
            <w:gridSpan w:val="2"/>
          </w:tcPr>
          <w:p>
            <w:pPr>
              <w:ind w:left="180"/>
              <w:spacing w:after="0" w:line="107" w:lineRule="exact"/>
              <w:rPr>
                <w:sz w:val="20"/>
                <w:szCs w:val="20"/>
                <w:color w:val="auto"/>
              </w:rPr>
            </w:pPr>
            <w:r>
              <w:rPr>
                <w:rFonts w:ascii="Times New Roman" w:cs="Times New Roman" w:eastAsia="Times New Roman" w:hAnsi="Times New Roman"/>
                <w:sz w:val="11"/>
                <w:szCs w:val="11"/>
                <w:b w:val="1"/>
                <w:bCs w:val="1"/>
                <w:color w:val="auto"/>
              </w:rPr>
              <w:t>EPS</w:t>
            </w:r>
          </w:p>
        </w:tc>
        <w:tc>
          <w:tcPr>
            <w:tcW w:w="140" w:type="dxa"/>
            <w:vAlign w:val="bottom"/>
          </w:tcPr>
          <w:p>
            <w:pPr>
              <w:spacing w:after="0"/>
              <w:rPr>
                <w:sz w:val="9"/>
                <w:szCs w:val="9"/>
                <w:color w:val="auto"/>
              </w:rPr>
            </w:pPr>
          </w:p>
        </w:tc>
        <w:tc>
          <w:tcPr>
            <w:tcW w:w="70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 Impact</w:t>
            </w:r>
          </w:p>
        </w:tc>
        <w:tc>
          <w:tcPr>
            <w:tcW w:w="80" w:type="dxa"/>
            <w:vAlign w:val="bottom"/>
            <w:vMerge w:val="restart"/>
          </w:tcPr>
          <w:p>
            <w:pPr>
              <w:spacing w:after="0"/>
              <w:rPr>
                <w:sz w:val="9"/>
                <w:szCs w:val="9"/>
                <w:color w:val="auto"/>
              </w:rPr>
            </w:pPr>
          </w:p>
        </w:tc>
        <w:tc>
          <w:tcPr>
            <w:tcW w:w="200" w:type="dxa"/>
            <w:vAlign w:val="bottom"/>
            <w:vMerge w:val="restart"/>
          </w:tcPr>
          <w:p>
            <w:pPr>
              <w:spacing w:after="0"/>
              <w:rPr>
                <w:sz w:val="9"/>
                <w:szCs w:val="9"/>
                <w:color w:val="auto"/>
              </w:rPr>
            </w:pPr>
          </w:p>
        </w:tc>
        <w:tc>
          <w:tcPr>
            <w:tcW w:w="680" w:type="dxa"/>
            <w:vAlign w:val="bottom"/>
          </w:tcPr>
          <w:p>
            <w:pPr>
              <w:jc w:val="right"/>
              <w:ind w:right="286"/>
              <w:spacing w:after="0" w:line="107" w:lineRule="exact"/>
              <w:rPr>
                <w:sz w:val="20"/>
                <w:szCs w:val="20"/>
                <w:color w:val="auto"/>
              </w:rPr>
            </w:pPr>
            <w:r>
              <w:rPr>
                <w:rFonts w:ascii="Times New Roman" w:cs="Times New Roman" w:eastAsia="Times New Roman" w:hAnsi="Times New Roman"/>
                <w:sz w:val="11"/>
                <w:szCs w:val="11"/>
                <w:b w:val="1"/>
                <w:bCs w:val="1"/>
                <w:color w:val="auto"/>
              </w:rPr>
              <w:t>EPS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 Impact</w:t>
            </w:r>
          </w:p>
        </w:tc>
        <w:tc>
          <w:tcPr>
            <w:tcW w:w="10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740" w:type="dxa"/>
            <w:vAlign w:val="bottom"/>
            <w:gridSpan w:val="2"/>
          </w:tcPr>
          <w:p>
            <w:pPr>
              <w:ind w:left="120"/>
              <w:spacing w:after="0" w:line="107" w:lineRule="exact"/>
              <w:rPr>
                <w:sz w:val="20"/>
                <w:szCs w:val="20"/>
                <w:color w:val="auto"/>
              </w:rPr>
            </w:pPr>
            <w:r>
              <w:rPr>
                <w:rFonts w:ascii="Times New Roman" w:cs="Times New Roman" w:eastAsia="Times New Roman" w:hAnsi="Times New Roman"/>
                <w:sz w:val="11"/>
                <w:szCs w:val="11"/>
                <w:b w:val="1"/>
                <w:bCs w:val="1"/>
                <w:color w:val="auto"/>
              </w:rPr>
              <w:t>EPS</w:t>
            </w:r>
          </w:p>
        </w:tc>
        <w:tc>
          <w:tcPr>
            <w:tcW w:w="140" w:type="dxa"/>
            <w:vAlign w:val="bottom"/>
          </w:tcPr>
          <w:p>
            <w:pPr>
              <w:spacing w:after="0"/>
              <w:rPr>
                <w:sz w:val="9"/>
                <w:szCs w:val="9"/>
                <w:color w:val="auto"/>
              </w:rPr>
            </w:pPr>
          </w:p>
        </w:tc>
        <w:tc>
          <w:tcPr>
            <w:tcW w:w="70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 Impact</w:t>
            </w:r>
          </w:p>
        </w:tc>
        <w:tc>
          <w:tcPr>
            <w:tcW w:w="6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800" w:type="dxa"/>
            <w:vAlign w:val="bottom"/>
            <w:gridSpan w:val="2"/>
          </w:tcPr>
          <w:p>
            <w:pPr>
              <w:ind w:left="160"/>
              <w:spacing w:after="0" w:line="107" w:lineRule="exact"/>
              <w:rPr>
                <w:sz w:val="20"/>
                <w:szCs w:val="20"/>
                <w:color w:val="auto"/>
              </w:rPr>
            </w:pPr>
            <w:r>
              <w:rPr>
                <w:rFonts w:ascii="Times New Roman" w:cs="Times New Roman" w:eastAsia="Times New Roman" w:hAnsi="Times New Roman"/>
                <w:sz w:val="11"/>
                <w:szCs w:val="11"/>
                <w:b w:val="1"/>
                <w:bCs w:val="1"/>
                <w:color w:val="auto"/>
              </w:rPr>
              <w:t>EPS</w:t>
            </w:r>
          </w:p>
        </w:tc>
        <w:tc>
          <w:tcPr>
            <w:tcW w:w="120" w:type="dxa"/>
            <w:vAlign w:val="bottom"/>
          </w:tcPr>
          <w:p>
            <w:pPr>
              <w:spacing w:after="0"/>
              <w:rPr>
                <w:sz w:val="9"/>
                <w:szCs w:val="9"/>
                <w:color w:val="auto"/>
              </w:rPr>
            </w:pPr>
          </w:p>
        </w:tc>
        <w:tc>
          <w:tcPr>
            <w:tcW w:w="70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 Impact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286"/>
              <w:spacing w:after="0" w:line="107" w:lineRule="exact"/>
              <w:rPr>
                <w:sz w:val="20"/>
                <w:szCs w:val="20"/>
                <w:color w:val="auto"/>
              </w:rPr>
            </w:pPr>
            <w:r>
              <w:rPr>
                <w:rFonts w:ascii="Times New Roman" w:cs="Times New Roman" w:eastAsia="Times New Roman" w:hAnsi="Times New Roman"/>
                <w:sz w:val="11"/>
                <w:szCs w:val="11"/>
                <w:b w:val="1"/>
                <w:bCs w:val="1"/>
                <w:color w:val="auto"/>
              </w:rPr>
              <w:t>EPS</w:t>
            </w: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jc w:val="right"/>
              <w:ind w:right="166"/>
              <w:spacing w:after="0" w:line="144" w:lineRule="exact"/>
              <w:rPr>
                <w:sz w:val="20"/>
                <w:szCs w:val="20"/>
                <w:color w:val="auto"/>
              </w:rPr>
            </w:pPr>
            <w:r>
              <w:rPr>
                <w:rFonts w:ascii="Times New Roman" w:cs="Times New Roman" w:eastAsia="Times New Roman" w:hAnsi="Times New Roman"/>
                <w:sz w:val="11"/>
                <w:szCs w:val="11"/>
                <w:b w:val="1"/>
                <w:bCs w:val="1"/>
                <w:color w:val="auto"/>
              </w:rPr>
              <w:t>Impact</w:t>
            </w:r>
            <w:r>
              <w:rPr>
                <w:rFonts w:ascii="Times New Roman" w:cs="Times New Roman" w:eastAsia="Times New Roman" w:hAnsi="Times New Roman"/>
                <w:sz w:val="14"/>
                <w:szCs w:val="14"/>
                <w:b w:val="1"/>
                <w:bCs w:val="1"/>
                <w:color w:val="auto"/>
                <w:vertAlign w:val="superscript"/>
              </w:rPr>
              <w:t>(1)</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jc w:val="right"/>
              <w:ind w:right="186"/>
              <w:spacing w:after="0" w:line="144" w:lineRule="exact"/>
              <w:rPr>
                <w:sz w:val="20"/>
                <w:szCs w:val="20"/>
                <w:color w:val="auto"/>
              </w:rPr>
            </w:pPr>
            <w:r>
              <w:rPr>
                <w:rFonts w:ascii="Times New Roman" w:cs="Times New Roman" w:eastAsia="Times New Roman" w:hAnsi="Times New Roman"/>
                <w:sz w:val="11"/>
                <w:szCs w:val="11"/>
                <w:b w:val="1"/>
                <w:bCs w:val="1"/>
                <w:color w:val="auto"/>
                <w:w w:val="94"/>
              </w:rPr>
              <w:t>Impact</w:t>
            </w:r>
            <w:r>
              <w:rPr>
                <w:rFonts w:ascii="Times New Roman" w:cs="Times New Roman" w:eastAsia="Times New Roman" w:hAnsi="Times New Roman"/>
                <w:sz w:val="14"/>
                <w:szCs w:val="14"/>
                <w:b w:val="1"/>
                <w:bCs w:val="1"/>
                <w:color w:val="auto"/>
                <w:w w:val="94"/>
                <w:vertAlign w:val="superscript"/>
              </w:rPr>
              <w:t>(1)</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jc w:val="right"/>
              <w:ind w:right="166"/>
              <w:spacing w:after="0" w:line="144" w:lineRule="exact"/>
              <w:rPr>
                <w:sz w:val="20"/>
                <w:szCs w:val="20"/>
                <w:color w:val="auto"/>
              </w:rPr>
            </w:pPr>
            <w:r>
              <w:rPr>
                <w:rFonts w:ascii="Times New Roman" w:cs="Times New Roman" w:eastAsia="Times New Roman" w:hAnsi="Times New Roman"/>
                <w:sz w:val="11"/>
                <w:szCs w:val="11"/>
                <w:b w:val="1"/>
                <w:bCs w:val="1"/>
                <w:color w:val="auto"/>
                <w:w w:val="89"/>
              </w:rPr>
              <w:t>Impact</w:t>
            </w:r>
            <w:r>
              <w:rPr>
                <w:rFonts w:ascii="Times New Roman" w:cs="Times New Roman" w:eastAsia="Times New Roman" w:hAnsi="Times New Roman"/>
                <w:sz w:val="14"/>
                <w:szCs w:val="14"/>
                <w:b w:val="1"/>
                <w:bCs w:val="1"/>
                <w:color w:val="auto"/>
                <w:w w:val="89"/>
                <w:vertAlign w:val="superscript"/>
              </w:rPr>
              <w:t>(1)</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jc w:val="right"/>
              <w:ind w:right="166"/>
              <w:spacing w:after="0" w:line="144" w:lineRule="exact"/>
              <w:rPr>
                <w:sz w:val="20"/>
                <w:szCs w:val="20"/>
                <w:color w:val="auto"/>
              </w:rPr>
            </w:pPr>
            <w:r>
              <w:rPr>
                <w:rFonts w:ascii="Times New Roman" w:cs="Times New Roman" w:eastAsia="Times New Roman" w:hAnsi="Times New Roman"/>
                <w:sz w:val="11"/>
                <w:szCs w:val="11"/>
                <w:b w:val="1"/>
                <w:bCs w:val="1"/>
                <w:color w:val="auto"/>
              </w:rPr>
              <w:t>Impact</w:t>
            </w:r>
            <w:r>
              <w:rPr>
                <w:rFonts w:ascii="Times New Roman" w:cs="Times New Roman" w:eastAsia="Times New Roman" w:hAnsi="Times New Roman"/>
                <w:sz w:val="14"/>
                <w:szCs w:val="14"/>
                <w:b w:val="1"/>
                <w:bCs w:val="1"/>
                <w:color w:val="auto"/>
                <w:vertAlign w:val="superscript"/>
              </w:rPr>
              <w:t>(1)</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6"/>
              <w:spacing w:after="0" w:line="144" w:lineRule="exact"/>
              <w:rPr>
                <w:sz w:val="20"/>
                <w:szCs w:val="20"/>
                <w:color w:val="auto"/>
              </w:rPr>
            </w:pPr>
            <w:r>
              <w:rPr>
                <w:rFonts w:ascii="Times New Roman" w:cs="Times New Roman" w:eastAsia="Times New Roman" w:hAnsi="Times New Roman"/>
                <w:sz w:val="11"/>
                <w:szCs w:val="11"/>
                <w:b w:val="1"/>
                <w:bCs w:val="1"/>
                <w:color w:val="auto"/>
                <w:w w:val="98"/>
              </w:rPr>
              <w:t>Impact</w:t>
            </w:r>
            <w:r>
              <w:rPr>
                <w:rFonts w:ascii="Times New Roman" w:cs="Times New Roman" w:eastAsia="Times New Roman" w:hAnsi="Times New Roman"/>
                <w:sz w:val="14"/>
                <w:szCs w:val="14"/>
                <w:b w:val="1"/>
                <w:bCs w:val="1"/>
                <w:color w:val="auto"/>
                <w:w w:val="98"/>
                <w:vertAlign w:val="superscript"/>
              </w:rPr>
              <w:t>(1)</w:t>
            </w:r>
          </w:p>
        </w:tc>
        <w:tc>
          <w:tcPr>
            <w:tcW w:w="0" w:type="dxa"/>
            <w:vAlign w:val="bottom"/>
          </w:tcPr>
          <w:p>
            <w:pPr>
              <w:spacing w:after="0"/>
              <w:rPr>
                <w:sz w:val="1"/>
                <w:szCs w:val="1"/>
                <w:color w:val="auto"/>
              </w:rPr>
            </w:pPr>
          </w:p>
        </w:tc>
      </w:tr>
      <w:tr>
        <w:trPr>
          <w:trHeight w:val="143"/>
        </w:trPr>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60" w:type="dxa"/>
            <w:vAlign w:val="bottom"/>
            <w:gridSpan w:val="7"/>
          </w:tcPr>
          <w:p>
            <w:pPr>
              <w:ind w:left="20"/>
              <w:spacing w:after="0"/>
              <w:rPr>
                <w:sz w:val="20"/>
                <w:szCs w:val="20"/>
                <w:color w:val="auto"/>
              </w:rPr>
            </w:pPr>
            <w:r>
              <w:rPr>
                <w:rFonts w:ascii="Times New Roman" w:cs="Times New Roman" w:eastAsia="Times New Roman" w:hAnsi="Times New Roman"/>
                <w:sz w:val="10"/>
                <w:szCs w:val="10"/>
                <w:color w:val="auto"/>
                <w:w w:val="98"/>
              </w:rPr>
              <w:t>(Dollars in thousands, except per share amounts)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00" w:type="dxa"/>
            <w:vAlign w:val="bottom"/>
          </w:tcPr>
          <w:p>
            <w:pPr>
              <w:spacing w:after="0"/>
              <w:rPr>
                <w:sz w:val="20"/>
                <w:szCs w:val="20"/>
                <w:color w:val="auto"/>
              </w:rPr>
            </w:pPr>
            <w:r>
              <w:rPr>
                <w:rFonts w:ascii="Times New Roman" w:cs="Times New Roman" w:eastAsia="Times New Roman" w:hAnsi="Times New Roman"/>
                <w:sz w:val="11"/>
                <w:szCs w:val="11"/>
                <w:color w:val="auto"/>
              </w:rPr>
              <w:t>Notable interest income items:</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w w:val="98"/>
              </w:rPr>
              <w:t>Interest income reversal related to borrower</w:t>
            </w:r>
          </w:p>
        </w:tc>
        <w:tc>
          <w:tcPr>
            <w:tcW w:w="280" w:type="dxa"/>
            <w:vAlign w:val="bottom"/>
            <w:vMerge w:val="restart"/>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vMerge w:val="restart"/>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3"/>
            <w:vMerge w:val="restart"/>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   $</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3"/>
            <w:vMerge w:val="restart"/>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   $</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3"/>
            <w:vMerge w:val="restart"/>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   $</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fraud</w:t>
            </w:r>
          </w:p>
        </w:tc>
        <w:tc>
          <w:tcPr>
            <w:tcW w:w="280" w:type="dxa"/>
            <w:vAlign w:val="bottom"/>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1000" w:type="dxa"/>
            <w:vAlign w:val="bottom"/>
            <w:gridSpan w:val="3"/>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940" w:type="dxa"/>
            <w:vAlign w:val="bottom"/>
            <w:gridSpan w:val="3"/>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0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rPr>
              <w:t>Interest income on relationships impacted</w:t>
            </w:r>
          </w:p>
        </w:tc>
        <w:tc>
          <w:tcPr>
            <w:tcW w:w="2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0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by questioned banker activity</w:t>
            </w:r>
          </w:p>
        </w:tc>
        <w:tc>
          <w:tcPr>
            <w:tcW w:w="2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Notable interest expense items:</w:t>
            </w: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0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w w:val="99"/>
              </w:rPr>
              <w:t>OID amortization - subordinated debenture</w:t>
            </w:r>
          </w:p>
        </w:tc>
        <w:tc>
          <w:tcPr>
            <w:tcW w:w="280" w:type="dxa"/>
            <w:vAlign w:val="bottom"/>
          </w:tcPr>
          <w:p>
            <w:pPr>
              <w:spacing w:after="0"/>
              <w:rPr>
                <w:sz w:val="10"/>
                <w:szCs w:val="10"/>
                <w:color w:val="auto"/>
              </w:rPr>
            </w:pPr>
          </w:p>
        </w:tc>
        <w:tc>
          <w:tcPr>
            <w:tcW w:w="8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0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redemption</w:t>
            </w:r>
          </w:p>
        </w:tc>
        <w:tc>
          <w:tcPr>
            <w:tcW w:w="2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Notable provision expense items:</w:t>
            </w: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0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w w:val="98"/>
              </w:rPr>
              <w:t>Provision release (expense) on relationships</w:t>
            </w: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color w:val="auto"/>
                <w:w w:val="98"/>
              </w:rPr>
              <w:t>related to or impacted by questioned banker</w:t>
            </w:r>
          </w:p>
        </w:tc>
        <w:tc>
          <w:tcPr>
            <w:tcW w:w="2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992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(1,670)</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0" w:type="dxa"/>
            <w:vAlign w:val="bottom"/>
          </w:tcPr>
          <w:p>
            <w:pPr>
              <w:spacing w:after="0"/>
              <w:rPr>
                <w:sz w:val="1"/>
                <w:szCs w:val="1"/>
                <w:color w:val="auto"/>
              </w:rPr>
            </w:pPr>
          </w:p>
        </w:tc>
      </w:tr>
      <w:tr>
        <w:trPr>
          <w:trHeight w:val="142"/>
        </w:trPr>
        <w:tc>
          <w:tcPr>
            <w:tcW w:w="20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activity</w:t>
            </w:r>
          </w:p>
        </w:tc>
        <w:tc>
          <w:tcPr>
            <w:tcW w:w="2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98"/>
              </w:rPr>
              <w:t>Provision expense related to borrower fraud</w:t>
            </w:r>
          </w:p>
        </w:tc>
        <w:tc>
          <w:tcPr>
            <w:tcW w:w="2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(29,545)</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(0.74)</w:t>
            </w:r>
          </w:p>
        </w:tc>
        <w:tc>
          <w:tcPr>
            <w:tcW w:w="0" w:type="dxa"/>
            <w:vAlign w:val="bottom"/>
          </w:tcPr>
          <w:p>
            <w:pPr>
              <w:spacing w:after="0"/>
              <w:rPr>
                <w:sz w:val="1"/>
                <w:szCs w:val="1"/>
                <w:color w:val="auto"/>
              </w:rPr>
            </w:pPr>
          </w:p>
        </w:tc>
      </w:tr>
      <w:tr>
        <w:trPr>
          <w:trHeight w:val="151"/>
        </w:trPr>
        <w:tc>
          <w:tcPr>
            <w:tcW w:w="2000" w:type="dxa"/>
            <w:vAlign w:val="bottom"/>
          </w:tcPr>
          <w:p>
            <w:pPr>
              <w:spacing w:after="0"/>
              <w:rPr>
                <w:sz w:val="20"/>
                <w:szCs w:val="20"/>
                <w:color w:val="auto"/>
              </w:rPr>
            </w:pPr>
            <w:r>
              <w:rPr>
                <w:rFonts w:ascii="Times New Roman" w:cs="Times New Roman" w:eastAsia="Times New Roman" w:hAnsi="Times New Roman"/>
                <w:sz w:val="11"/>
                <w:szCs w:val="11"/>
                <w:color w:val="auto"/>
              </w:rPr>
              <w:t>Notable noninterest income items: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 gain on sales of securities, net</w:t>
            </w: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00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rPr>
              <w:t>Positive valuation adjustment on non-</w:t>
            </w:r>
          </w:p>
        </w:tc>
        <w:tc>
          <w:tcPr>
            <w:tcW w:w="280" w:type="dxa"/>
            <w:vAlign w:val="bottom"/>
          </w:tcPr>
          <w:p>
            <w:pPr>
              <w:spacing w:after="0"/>
              <w:rPr>
                <w:sz w:val="10"/>
                <w:szCs w:val="10"/>
                <w:color w:val="auto"/>
              </w:rPr>
            </w:pPr>
          </w:p>
        </w:tc>
        <w:tc>
          <w:tcPr>
            <w:tcW w:w="8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6,972</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0.18</w:t>
            </w:r>
          </w:p>
        </w:tc>
        <w:tc>
          <w:tcPr>
            <w:tcW w:w="0" w:type="dxa"/>
            <w:vAlign w:val="bottom"/>
          </w:tcPr>
          <w:p>
            <w:pPr>
              <w:spacing w:after="0"/>
              <w:rPr>
                <w:sz w:val="1"/>
                <w:szCs w:val="1"/>
                <w:color w:val="auto"/>
              </w:rPr>
            </w:pPr>
          </w:p>
        </w:tc>
      </w:tr>
      <w:tr>
        <w:trPr>
          <w:trHeight w:val="142"/>
        </w:trPr>
        <w:tc>
          <w:tcPr>
            <w:tcW w:w="20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marketable equity securities</w:t>
            </w:r>
          </w:p>
        </w:tc>
        <w:tc>
          <w:tcPr>
            <w:tcW w:w="2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00" w:type="dxa"/>
            <w:vAlign w:val="bottom"/>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Insurance recovery income related to</w:t>
            </w:r>
          </w:p>
        </w:tc>
        <w:tc>
          <w:tcPr>
            <w:tcW w:w="2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98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2,077</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questioned banker activity</w:t>
            </w:r>
          </w:p>
        </w:tc>
        <w:tc>
          <w:tcPr>
            <w:tcW w:w="2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rPr>
                <w:sz w:val="20"/>
                <w:szCs w:val="20"/>
                <w:color w:val="auto"/>
              </w:rPr>
            </w:pPr>
            <w:r>
              <w:rPr>
                <w:rFonts w:ascii="Times New Roman" w:cs="Times New Roman" w:eastAsia="Times New Roman" w:hAnsi="Times New Roman"/>
                <w:sz w:val="11"/>
                <w:szCs w:val="11"/>
                <w:color w:val="auto"/>
              </w:rPr>
              <w:t>Notable noninterest expense items: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00" w:type="dxa"/>
            <w:vAlign w:val="bottom"/>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Operating benefit (expense) related to</w:t>
            </w:r>
          </w:p>
        </w:tc>
        <w:tc>
          <w:tcPr>
            <w:tcW w:w="2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1"/>
                <w:szCs w:val="11"/>
                <w:color w:val="auto"/>
              </w:rPr>
              <w:t>questioned banker activity</w:t>
            </w:r>
            <w:r>
              <w:rPr>
                <w:rFonts w:ascii="Times New Roman" w:cs="Times New Roman" w:eastAsia="Times New Roman" w:hAnsi="Times New Roman"/>
                <w:sz w:val="14"/>
                <w:szCs w:val="14"/>
                <w:color w:val="auto"/>
                <w:vertAlign w:val="superscript"/>
              </w:rPr>
              <w:t>(2)</w:t>
            </w:r>
          </w:p>
        </w:tc>
        <w:tc>
          <w:tcPr>
            <w:tcW w:w="2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0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rPr>
              <w:t>Operating expense related to strategic</w:t>
            </w:r>
          </w:p>
        </w:tc>
        <w:tc>
          <w:tcPr>
            <w:tcW w:w="280" w:type="dxa"/>
            <w:vAlign w:val="bottom"/>
          </w:tcPr>
          <w:p>
            <w:pPr>
              <w:spacing w:after="0"/>
              <w:rPr>
                <w:sz w:val="10"/>
                <w:szCs w:val="10"/>
                <w:color w:val="auto"/>
              </w:rPr>
            </w:pPr>
          </w:p>
        </w:tc>
        <w:tc>
          <w:tcPr>
            <w:tcW w:w="8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(577)</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0" w:type="dxa"/>
            <w:vAlign w:val="bottom"/>
          </w:tcPr>
          <w:p>
            <w:pPr>
              <w:spacing w:after="0"/>
              <w:rPr>
                <w:sz w:val="1"/>
                <w:szCs w:val="1"/>
                <w:color w:val="auto"/>
              </w:rPr>
            </w:pPr>
          </w:p>
        </w:tc>
      </w:tr>
      <w:tr>
        <w:trPr>
          <w:trHeight w:val="144"/>
        </w:trPr>
        <w:tc>
          <w:tcPr>
            <w:tcW w:w="2000" w:type="dxa"/>
            <w:vAlign w:val="bottom"/>
          </w:tcPr>
          <w:p>
            <w:pPr>
              <w:ind w:left="80"/>
              <w:spacing w:after="0" w:line="144" w:lineRule="exact"/>
              <w:rPr>
                <w:sz w:val="20"/>
                <w:szCs w:val="20"/>
                <w:color w:val="auto"/>
              </w:rPr>
            </w:pPr>
            <w:r>
              <w:rPr>
                <w:rFonts w:ascii="Times New Roman" w:cs="Times New Roman" w:eastAsia="Times New Roman" w:hAnsi="Times New Roman"/>
                <w:sz w:val="11"/>
                <w:szCs w:val="11"/>
                <w:i w:val="1"/>
                <w:iCs w:val="1"/>
                <w:color w:val="auto"/>
              </w:rPr>
              <w:t xml:space="preserve">Optimize Origin </w:t>
            </w:r>
            <w:r>
              <w:rPr>
                <w:rFonts w:ascii="Times New Roman" w:cs="Times New Roman" w:eastAsia="Times New Roman" w:hAnsi="Times New Roman"/>
                <w:sz w:val="11"/>
                <w:szCs w:val="11"/>
                <w:color w:val="auto"/>
              </w:rPr>
              <w:t>initiatives</w:t>
            </w:r>
            <w:r>
              <w:rPr>
                <w:rFonts w:ascii="Times New Roman" w:cs="Times New Roman" w:eastAsia="Times New Roman" w:hAnsi="Times New Roman"/>
                <w:sz w:val="14"/>
                <w:szCs w:val="14"/>
                <w:color w:val="auto"/>
                <w:vertAlign w:val="superscript"/>
              </w:rPr>
              <w:t>(3)</w:t>
            </w:r>
          </w:p>
        </w:tc>
        <w:tc>
          <w:tcPr>
            <w:tcW w:w="2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97"/>
              </w:rPr>
              <w:t>Operating expense related to borrower fraud</w:t>
            </w:r>
          </w:p>
        </w:tc>
        <w:tc>
          <w:tcPr>
            <w:tcW w:w="2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0" w:type="dxa"/>
            <w:vAlign w:val="bottom"/>
          </w:tcPr>
          <w:p>
            <w:pPr>
              <w:spacing w:after="0"/>
              <w:rPr>
                <w:sz w:val="1"/>
                <w:szCs w:val="1"/>
                <w:color w:val="auto"/>
              </w:rPr>
            </w:pPr>
          </w:p>
        </w:tc>
      </w:tr>
      <w:tr>
        <w:trPr>
          <w:trHeight w:val="144"/>
        </w:trPr>
        <w:tc>
          <w:tcPr>
            <w:tcW w:w="2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notable items</w:t>
            </w: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0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(23,346)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(0.59)</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08" w:hanging="208"/>
        <w:spacing w:after="0" w:line="236" w:lineRule="auto"/>
        <w:tabs>
          <w:tab w:leader="none" w:pos="208" w:val="left"/>
        </w:tabs>
        <w:numPr>
          <w:ilvl w:val="0"/>
          <w:numId w:val="1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diluted EPS impact is calculated using a 21% effective tax rate. The total of the diluted EPS impact of each individual line item may not equal the calculated diluted EPS impact on the total notable items due to rounding.</w:t>
      </w:r>
    </w:p>
    <w:p>
      <w:pPr>
        <w:spacing w:after="0" w:line="6"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1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$1.2 million and $325,000 operating net benefit related to questioned banker activity for the quarter ended September 30, 2026 and June 30, 2026, include $2.2 million and $389,000 release of litigation reserve, respectively.</w:t>
      </w:r>
    </w:p>
    <w:p>
      <w:pPr>
        <w:spacing w:after="0" w:line="3" w:lineRule="exact"/>
        <w:rPr>
          <w:rFonts w:ascii="Times New Roman" w:cs="Times New Roman" w:eastAsia="Times New Roman" w:hAnsi="Times New Roman"/>
          <w:sz w:val="12"/>
          <w:szCs w:val="12"/>
          <w:color w:val="auto"/>
          <w:vertAlign w:val="superscript"/>
        </w:rPr>
      </w:pPr>
    </w:p>
    <w:p>
      <w:pPr>
        <w:ind w:left="208" w:right="180" w:hanging="208"/>
        <w:spacing w:after="0" w:line="218" w:lineRule="auto"/>
        <w:tabs>
          <w:tab w:leader="none" w:pos="200" w:val="left"/>
        </w:tabs>
        <w:numPr>
          <w:ilvl w:val="0"/>
          <w:numId w:val="1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 xml:space="preserve">Operating expenses related to strategic </w:t>
      </w:r>
      <w:r>
        <w:rPr>
          <w:rFonts w:ascii="Times New Roman" w:cs="Times New Roman" w:eastAsia="Times New Roman" w:hAnsi="Times New Roman"/>
          <w:sz w:val="10"/>
          <w:szCs w:val="10"/>
          <w:i w:val="1"/>
          <w:iCs w:val="1"/>
          <w:color w:val="auto"/>
        </w:rPr>
        <w:t>Optimize Origin</w:t>
      </w:r>
      <w:r>
        <w:rPr>
          <w:rFonts w:ascii="Times New Roman" w:cs="Times New Roman" w:eastAsia="Times New Roman" w:hAnsi="Times New Roman"/>
          <w:sz w:val="10"/>
          <w:szCs w:val="10"/>
          <w:color w:val="auto"/>
        </w:rPr>
        <w:t xml:space="preserve"> initiatives are expected to be immaterial and, accordingly, will no longer be separately tracked beginning with the quarter ended March 31, 2026. The $51,000 and $577,000 operating expenses related to strategic </w:t>
      </w:r>
      <w:r>
        <w:rPr>
          <w:rFonts w:ascii="Times New Roman" w:cs="Times New Roman" w:eastAsia="Times New Roman" w:hAnsi="Times New Roman"/>
          <w:sz w:val="10"/>
          <w:szCs w:val="10"/>
          <w:i w:val="1"/>
          <w:iCs w:val="1"/>
          <w:color w:val="auto"/>
        </w:rPr>
        <w:t>Optimize Origin</w:t>
      </w:r>
      <w:r>
        <w:rPr>
          <w:rFonts w:ascii="Times New Roman" w:cs="Times New Roman" w:eastAsia="Times New Roman" w:hAnsi="Times New Roman"/>
          <w:sz w:val="10"/>
          <w:szCs w:val="10"/>
          <w:color w:val="auto"/>
        </w:rPr>
        <w:t xml:space="preserve"> initiatives for the quarters ended December 31, 2025, and September 30, 2025, include sub-lease income of $40,000 and $27,000, respectively, that was included in noninterest income on the face of the income statement.</w:t>
      </w:r>
    </w:p>
    <w:p>
      <w:pPr>
        <w:spacing w:after="0" w:line="3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308"/>
          </w:cols>
          <w:pgMar w:left="292" w:top="125" w:right="299" w:bottom="1440" w:gutter="0" w:footer="0" w:header="0"/>
        </w:sectPr>
      </w:pPr>
    </w:p>
    <w:bookmarkStart w:id="19" w:name="page20"/>
    <w:bookmarkEnd w:id="1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Origin Bancorp,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Notable Items - Continued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0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6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4"/>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140" w:type="dxa"/>
            <w:vAlign w:val="bottom"/>
            <w:tcBorders>
              <w:bottom w:val="single" w:sz="8" w:color="auto"/>
            </w:tcBorders>
          </w:tcPr>
          <w:p>
            <w:pPr>
              <w:spacing w:after="0"/>
              <w:rPr>
                <w:sz w:val="12"/>
                <w:szCs w:val="12"/>
                <w:color w:val="auto"/>
              </w:rPr>
            </w:pPr>
          </w:p>
        </w:tc>
      </w:tr>
      <w:tr>
        <w:trPr>
          <w:trHeight w:val="144"/>
        </w:trPr>
        <w:tc>
          <w:tcPr>
            <w:tcW w:w="566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w w:val="95"/>
              </w:rPr>
              <w:t>Impact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06"/>
              <w:spacing w:after="0" w:line="144" w:lineRule="exact"/>
              <w:rPr>
                <w:sz w:val="20"/>
                <w:szCs w:val="20"/>
                <w:color w:val="auto"/>
              </w:rPr>
            </w:pPr>
            <w:r>
              <w:rPr>
                <w:rFonts w:ascii="Times New Roman" w:cs="Times New Roman" w:eastAsia="Times New Roman" w:hAnsi="Times New Roman"/>
                <w:sz w:val="11"/>
                <w:szCs w:val="11"/>
                <w:b w:val="1"/>
                <w:bCs w:val="1"/>
                <w:color w:val="auto"/>
              </w:rPr>
              <w:t>EPS Impact</w:t>
            </w:r>
            <w:r>
              <w:rPr>
                <w:rFonts w:ascii="Times New Roman" w:cs="Times New Roman" w:eastAsia="Times New Roman" w:hAnsi="Times New Roman"/>
                <w:sz w:val="14"/>
                <w:szCs w:val="14"/>
                <w:b w:val="1"/>
                <w:bCs w:val="1"/>
                <w:color w:val="auto"/>
                <w:vertAlign w:val="superscript"/>
              </w:rPr>
              <w:t>(1)</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 Impact</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06"/>
              <w:spacing w:after="0" w:line="144" w:lineRule="exact"/>
              <w:rPr>
                <w:sz w:val="20"/>
                <w:szCs w:val="20"/>
                <w:color w:val="auto"/>
              </w:rPr>
            </w:pPr>
            <w:r>
              <w:rPr>
                <w:rFonts w:ascii="Times New Roman" w:cs="Times New Roman" w:eastAsia="Times New Roman" w:hAnsi="Times New Roman"/>
                <w:sz w:val="11"/>
                <w:szCs w:val="11"/>
                <w:b w:val="1"/>
                <w:bCs w:val="1"/>
                <w:color w:val="auto"/>
              </w:rPr>
              <w:t>EPS Impact</w:t>
            </w:r>
            <w:r>
              <w:rPr>
                <w:rFonts w:ascii="Times New Roman" w:cs="Times New Roman" w:eastAsia="Times New Roman" w:hAnsi="Times New Roman"/>
                <w:sz w:val="14"/>
                <w:szCs w:val="14"/>
                <w:b w:val="1"/>
                <w:bCs w:val="1"/>
                <w:color w:val="auto"/>
                <w:vertAlign w:val="superscript"/>
              </w:rPr>
              <w:t>(1)</w:t>
            </w:r>
          </w:p>
        </w:tc>
      </w:tr>
      <w:tr>
        <w:trPr>
          <w:trHeight w:val="143"/>
        </w:trPr>
        <w:tc>
          <w:tcPr>
            <w:tcW w:w="5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4"/>
          </w:tcPr>
          <w:p>
            <w:pPr>
              <w:jc w:val="right"/>
              <w:ind w:right="386"/>
              <w:spacing w:after="0"/>
              <w:rPr>
                <w:sz w:val="20"/>
                <w:szCs w:val="20"/>
                <w:color w:val="auto"/>
              </w:rPr>
            </w:pPr>
            <w:r>
              <w:rPr>
                <w:rFonts w:ascii="Times New Roman" w:cs="Times New Roman" w:eastAsia="Times New Roman" w:hAnsi="Times New Roman"/>
                <w:sz w:val="10"/>
                <w:szCs w:val="10"/>
                <w:color w:val="auto"/>
              </w:rPr>
              <w:t>(Dollars in thousands, except per share amounts)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8"/>
        </w:trPr>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Notable interest income items:</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5"/>
        </w:trPr>
        <w:tc>
          <w:tcPr>
            <w:tcW w:w="5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Interest income reversal related to borrower fraud</w:t>
            </w: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51"/>
        </w:trPr>
        <w:tc>
          <w:tcPr>
            <w:tcW w:w="5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Interest income on relationships impacted by questioned banker activity</w:t>
            </w:r>
          </w:p>
        </w:tc>
        <w:tc>
          <w:tcPr>
            <w:tcW w:w="5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Notable interest expense items:</w:t>
            </w:r>
          </w:p>
        </w:tc>
        <w:tc>
          <w:tcPr>
            <w:tcW w:w="5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1"/>
        </w:trPr>
        <w:tc>
          <w:tcPr>
            <w:tcW w:w="5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OID amortization - subordinated debenture redemption</w:t>
            </w:r>
          </w:p>
        </w:tc>
        <w:tc>
          <w:tcPr>
            <w:tcW w:w="540" w:type="dxa"/>
            <w:vAlign w:val="bottom"/>
          </w:tcPr>
          <w:p>
            <w:pPr>
              <w:spacing w:after="0"/>
              <w:rPr>
                <w:sz w:val="13"/>
                <w:szCs w:val="13"/>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(0.02)</w:t>
            </w:r>
          </w:p>
        </w:tc>
      </w:tr>
      <w:tr>
        <w:trPr>
          <w:trHeight w:val="15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Notable provision expense items:</w:t>
            </w:r>
          </w:p>
        </w:tc>
        <w:tc>
          <w:tcPr>
            <w:tcW w:w="5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1"/>
        </w:trPr>
        <w:tc>
          <w:tcPr>
            <w:tcW w:w="5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Provision release on relationships related to or impacted by questioned banker activity</w:t>
            </w:r>
          </w:p>
        </w:tc>
        <w:tc>
          <w:tcPr>
            <w:tcW w:w="5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r>
      <w:tr>
        <w:trPr>
          <w:trHeight w:val="155"/>
        </w:trPr>
        <w:tc>
          <w:tcPr>
            <w:tcW w:w="5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Provision expense related to borrower fraud</w:t>
            </w:r>
          </w:p>
        </w:tc>
        <w:tc>
          <w:tcPr>
            <w:tcW w:w="54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(29,545)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(0.74)</w:t>
            </w:r>
          </w:p>
        </w:tc>
      </w:tr>
      <w:tr>
        <w:trPr>
          <w:trHeight w:val="151"/>
        </w:trPr>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Notable noninterest income items:</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5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 on sales of securities, net</w:t>
            </w:r>
          </w:p>
        </w:tc>
        <w:tc>
          <w:tcPr>
            <w:tcW w:w="5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(14,448)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(0.36)</w:t>
            </w:r>
          </w:p>
        </w:tc>
      </w:tr>
      <w:tr>
        <w:trPr>
          <w:trHeight w:val="151"/>
        </w:trPr>
        <w:tc>
          <w:tcPr>
            <w:tcW w:w="5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Positive valuation adjustment on non-marketable equity securities</w:t>
            </w:r>
          </w:p>
        </w:tc>
        <w:tc>
          <w:tcPr>
            <w:tcW w:w="540" w:type="dxa"/>
            <w:vAlign w:val="bottom"/>
          </w:tcPr>
          <w:p>
            <w:pPr>
              <w:spacing w:after="0"/>
              <w:rPr>
                <w:sz w:val="13"/>
                <w:szCs w:val="13"/>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0.18</w:t>
            </w:r>
          </w:p>
        </w:tc>
      </w:tr>
      <w:tr>
        <w:trPr>
          <w:trHeight w:val="155"/>
        </w:trPr>
        <w:tc>
          <w:tcPr>
            <w:tcW w:w="5660" w:type="dxa"/>
            <w:vAlign w:val="bottom"/>
            <w:shd w:val="clear" w:color="auto" w:fill="CCEEFF"/>
          </w:tcPr>
          <w:p>
            <w:pPr>
              <w:ind w:left="80"/>
              <w:spacing w:after="0" w:line="155" w:lineRule="exact"/>
              <w:rPr>
                <w:sz w:val="20"/>
                <w:szCs w:val="20"/>
                <w:color w:val="auto"/>
              </w:rPr>
            </w:pPr>
            <w:r>
              <w:rPr>
                <w:rFonts w:ascii="Times New Roman" w:cs="Times New Roman" w:eastAsia="Times New Roman" w:hAnsi="Times New Roman"/>
                <w:sz w:val="11"/>
                <w:szCs w:val="11"/>
                <w:color w:val="auto"/>
              </w:rPr>
              <w:t>Net loss on OREO properties</w:t>
            </w:r>
            <w:r>
              <w:rPr>
                <w:rFonts w:ascii="Times New Roman" w:cs="Times New Roman" w:eastAsia="Times New Roman" w:hAnsi="Times New Roman"/>
                <w:sz w:val="14"/>
                <w:szCs w:val="14"/>
                <w:color w:val="auto"/>
                <w:vertAlign w:val="superscript"/>
              </w:rPr>
              <w:t>(2)</w:t>
            </w:r>
          </w:p>
        </w:tc>
        <w:tc>
          <w:tcPr>
            <w:tcW w:w="54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51"/>
        </w:trPr>
        <w:tc>
          <w:tcPr>
            <w:tcW w:w="5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BOLI payout</w:t>
            </w:r>
          </w:p>
        </w:tc>
        <w:tc>
          <w:tcPr>
            <w:tcW w:w="540" w:type="dxa"/>
            <w:vAlign w:val="bottom"/>
          </w:tcPr>
          <w:p>
            <w:pPr>
              <w:spacing w:after="0"/>
              <w:rPr>
                <w:sz w:val="13"/>
                <w:szCs w:val="13"/>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0.01</w:t>
            </w:r>
          </w:p>
        </w:tc>
      </w:tr>
      <w:tr>
        <w:trPr>
          <w:trHeight w:val="155"/>
        </w:trPr>
        <w:tc>
          <w:tcPr>
            <w:tcW w:w="5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Insurance recovery income related to questioned banker activity</w:t>
            </w:r>
          </w:p>
        </w:tc>
        <w:tc>
          <w:tcPr>
            <w:tcW w:w="5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0.05</w:t>
            </w:r>
          </w:p>
        </w:tc>
      </w:tr>
      <w:tr>
        <w:trPr>
          <w:trHeight w:val="151"/>
        </w:trPr>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Notable noninterest expense items:</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5660" w:type="dxa"/>
            <w:vAlign w:val="bottom"/>
            <w:shd w:val="clear" w:color="auto" w:fill="CCEEFF"/>
          </w:tcPr>
          <w:p>
            <w:pPr>
              <w:ind w:left="80"/>
              <w:spacing w:after="0" w:line="155" w:lineRule="exact"/>
              <w:rPr>
                <w:sz w:val="20"/>
                <w:szCs w:val="20"/>
                <w:color w:val="auto"/>
              </w:rPr>
            </w:pPr>
            <w:r>
              <w:rPr>
                <w:rFonts w:ascii="Times New Roman" w:cs="Times New Roman" w:eastAsia="Times New Roman" w:hAnsi="Times New Roman"/>
                <w:sz w:val="11"/>
                <w:szCs w:val="11"/>
                <w:color w:val="auto"/>
              </w:rPr>
              <w:t>Operating benefit (expense) related to questioned banker activity</w:t>
            </w:r>
            <w:r>
              <w:rPr>
                <w:rFonts w:ascii="Times New Roman" w:cs="Times New Roman" w:eastAsia="Times New Roman" w:hAnsi="Times New Roman"/>
                <w:sz w:val="14"/>
                <w:szCs w:val="14"/>
                <w:color w:val="auto"/>
                <w:vertAlign w:val="superscript"/>
              </w:rPr>
              <w:t>(3)</w:t>
            </w:r>
          </w:p>
        </w:tc>
        <w:tc>
          <w:tcPr>
            <w:tcW w:w="5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r>
      <w:tr>
        <w:trPr>
          <w:trHeight w:val="153"/>
        </w:trPr>
        <w:tc>
          <w:tcPr>
            <w:tcW w:w="5660" w:type="dxa"/>
            <w:vAlign w:val="bottom"/>
          </w:tcPr>
          <w:p>
            <w:pPr>
              <w:ind w:left="80"/>
              <w:spacing w:after="0" w:line="153" w:lineRule="exact"/>
              <w:rPr>
                <w:sz w:val="20"/>
                <w:szCs w:val="20"/>
                <w:color w:val="auto"/>
              </w:rPr>
            </w:pPr>
            <w:r>
              <w:rPr>
                <w:rFonts w:ascii="Times New Roman" w:cs="Times New Roman" w:eastAsia="Times New Roman" w:hAnsi="Times New Roman"/>
                <w:sz w:val="11"/>
                <w:szCs w:val="11"/>
                <w:color w:val="auto"/>
              </w:rPr>
              <w:t xml:space="preserve">Operating expense related to strategic </w:t>
            </w:r>
            <w:r>
              <w:rPr>
                <w:rFonts w:ascii="Times New Roman" w:cs="Times New Roman" w:eastAsia="Times New Roman" w:hAnsi="Times New Roman"/>
                <w:sz w:val="11"/>
                <w:szCs w:val="11"/>
                <w:i w:val="1"/>
                <w:iCs w:val="1"/>
                <w:color w:val="auto"/>
              </w:rPr>
              <w:t>Optimize Origin</w:t>
            </w:r>
            <w:r>
              <w:rPr>
                <w:rFonts w:ascii="Times New Roman" w:cs="Times New Roman" w:eastAsia="Times New Roman" w:hAnsi="Times New Roman"/>
                <w:sz w:val="11"/>
                <w:szCs w:val="11"/>
                <w:color w:val="auto"/>
              </w:rPr>
              <w:t xml:space="preserve"> initiatives</w:t>
            </w:r>
            <w:r>
              <w:rPr>
                <w:rFonts w:ascii="Times New Roman" w:cs="Times New Roman" w:eastAsia="Times New Roman" w:hAnsi="Times New Roman"/>
                <w:sz w:val="14"/>
                <w:szCs w:val="14"/>
                <w:color w:val="auto"/>
                <w:vertAlign w:val="superscript"/>
              </w:rPr>
              <w:t>(4)</w:t>
            </w:r>
          </w:p>
        </w:tc>
        <w:tc>
          <w:tcPr>
            <w:tcW w:w="540" w:type="dxa"/>
            <w:vAlign w:val="bottom"/>
          </w:tcPr>
          <w:p>
            <w:pPr>
              <w:spacing w:after="0"/>
              <w:rPr>
                <w:sz w:val="13"/>
                <w:szCs w:val="13"/>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r>
      <w:tr>
        <w:trPr>
          <w:trHeight w:val="153"/>
        </w:trPr>
        <w:tc>
          <w:tcPr>
            <w:tcW w:w="5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Operating expense related to borrower fraud</w:t>
            </w:r>
          </w:p>
        </w:tc>
        <w:tc>
          <w:tcPr>
            <w:tcW w:w="5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51"/>
        </w:trPr>
        <w:tc>
          <w:tcPr>
            <w:tcW w:w="5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Employee Retention Credit</w:t>
            </w:r>
          </w:p>
        </w:tc>
        <w:tc>
          <w:tcPr>
            <w:tcW w:w="540" w:type="dxa"/>
            <w:vAlign w:val="bottom"/>
          </w:tcPr>
          <w:p>
            <w:pPr>
              <w:spacing w:after="0"/>
              <w:rPr>
                <w:sz w:val="13"/>
                <w:szCs w:val="13"/>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0.01</w:t>
            </w:r>
          </w:p>
        </w:tc>
      </w:tr>
      <w:tr>
        <w:trPr>
          <w:trHeight w:val="164"/>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notable items</w:t>
            </w:r>
          </w:p>
        </w:tc>
        <w:tc>
          <w:tcPr>
            <w:tcW w:w="540" w:type="dxa"/>
            <w:vAlign w:val="bottom"/>
            <w:tcBorders>
              <w:top w:val="single" w:sz="8" w:color="auto"/>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(41,165)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r>
      <w:tr>
        <w:trPr>
          <w:trHeight w:val="172"/>
        </w:trPr>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ind w:left="208" w:hanging="208"/>
        <w:spacing w:after="0" w:line="236" w:lineRule="auto"/>
        <w:tabs>
          <w:tab w:leader="none" w:pos="208" w:val="left"/>
        </w:tabs>
        <w:numPr>
          <w:ilvl w:val="0"/>
          <w:numId w:val="1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diluted EPS impact is calculated using a 21% effective tax rate. The total of the diluted EPS impact of each individual line item may not equal the calculated diluted EPS impact on the total notable items due to rounding.</w:t>
      </w:r>
    </w:p>
    <w:p>
      <w:pPr>
        <w:ind w:left="208" w:hanging="208"/>
        <w:spacing w:after="0" w:line="221" w:lineRule="auto"/>
        <w:tabs>
          <w:tab w:leader="none" w:pos="208" w:val="left"/>
        </w:tabs>
        <w:numPr>
          <w:ilvl w:val="0"/>
          <w:numId w:val="18"/>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The $370,000 net loss on OREO properties for the nine months ended September 30, 2025, includes a $452,000 insurance settlement recovery that was included in noninterest income on the face of the income statement and a $151,000 repair cost that was included in noninterest expense.</w:t>
      </w:r>
    </w:p>
    <w:p>
      <w:pPr>
        <w:spacing w:after="0" w:line="31" w:lineRule="exact"/>
        <w:rPr>
          <w:rFonts w:ascii="Times New Roman" w:cs="Times New Roman" w:eastAsia="Times New Roman" w:hAnsi="Times New Roman"/>
          <w:sz w:val="11"/>
          <w:szCs w:val="11"/>
          <w:color w:val="auto"/>
          <w:vertAlign w:val="superscript"/>
        </w:rPr>
      </w:pPr>
    </w:p>
    <w:p>
      <w:pPr>
        <w:ind w:left="208" w:hanging="208"/>
        <w:spacing w:after="0" w:line="197" w:lineRule="auto"/>
        <w:tabs>
          <w:tab w:leader="none" w:pos="208" w:val="left"/>
        </w:tabs>
        <w:numPr>
          <w:ilvl w:val="0"/>
          <w:numId w:val="1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$987,000 operating expense related to questioned banker activity for the nine months ended September 30, 2026, includes a $2.6 million release of litigation reserve.</w:t>
      </w:r>
    </w:p>
    <w:p>
      <w:pPr>
        <w:spacing w:after="0" w:line="21" w:lineRule="exact"/>
        <w:rPr>
          <w:rFonts w:ascii="Times New Roman" w:cs="Times New Roman" w:eastAsia="Times New Roman" w:hAnsi="Times New Roman"/>
          <w:sz w:val="12"/>
          <w:szCs w:val="12"/>
          <w:color w:val="auto"/>
          <w:vertAlign w:val="superscript"/>
        </w:rPr>
      </w:pPr>
    </w:p>
    <w:p>
      <w:pPr>
        <w:ind w:left="208" w:right="100" w:hanging="208"/>
        <w:spacing w:after="0" w:line="218" w:lineRule="auto"/>
        <w:tabs>
          <w:tab w:leader="none" w:pos="200" w:val="left"/>
        </w:tabs>
        <w:numPr>
          <w:ilvl w:val="0"/>
          <w:numId w:val="1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 xml:space="preserve">Operating expenses related to strategic </w:t>
      </w:r>
      <w:r>
        <w:rPr>
          <w:rFonts w:ascii="Times New Roman" w:cs="Times New Roman" w:eastAsia="Times New Roman" w:hAnsi="Times New Roman"/>
          <w:sz w:val="10"/>
          <w:szCs w:val="10"/>
          <w:i w:val="1"/>
          <w:iCs w:val="1"/>
          <w:color w:val="auto"/>
        </w:rPr>
        <w:t>Optimize Origin</w:t>
      </w:r>
      <w:r>
        <w:rPr>
          <w:rFonts w:ascii="Times New Roman" w:cs="Times New Roman" w:eastAsia="Times New Roman" w:hAnsi="Times New Roman"/>
          <w:sz w:val="10"/>
          <w:szCs w:val="10"/>
          <w:color w:val="auto"/>
        </w:rPr>
        <w:t xml:space="preserve"> initiatives are expected to be immaterial and accordingly, will no longer be separately tracked beginning with the quarter ended March 31, 2026. The $2.6 million operating expense related to strategic </w:t>
      </w:r>
      <w:r>
        <w:rPr>
          <w:rFonts w:ascii="Times New Roman" w:cs="Times New Roman" w:eastAsia="Times New Roman" w:hAnsi="Times New Roman"/>
          <w:sz w:val="10"/>
          <w:szCs w:val="10"/>
          <w:i w:val="1"/>
          <w:iCs w:val="1"/>
          <w:color w:val="auto"/>
        </w:rPr>
        <w:t>Optimize Origin</w:t>
      </w:r>
      <w:r>
        <w:rPr>
          <w:rFonts w:ascii="Times New Roman" w:cs="Times New Roman" w:eastAsia="Times New Roman" w:hAnsi="Times New Roman"/>
          <w:sz w:val="10"/>
          <w:szCs w:val="10"/>
          <w:color w:val="auto"/>
        </w:rPr>
        <w:t xml:space="preserve"> initiatives for the nine months ended September 30, 2025, includes sub-lease income of $27,000 that was included in noninterest income on the face of the income statement.</w:t>
      </w:r>
    </w:p>
    <w:p>
      <w:pPr>
        <w:spacing w:after="0" w:line="3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308"/>
          </w:cols>
          <w:pgMar w:left="292" w:top="125" w:right="29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2"/>
          <w:szCs w:val="12"/>
          <w:b w:val="1"/>
          <w:bCs w:val="1"/>
          <w:color w:val="auto"/>
        </w:rPr>
        <w:t>Origin Bancorp,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6"/>
          </w:tcPr>
          <w:p>
            <w:pPr>
              <w:jc w:val="center"/>
              <w:ind w:left="786"/>
              <w:spacing w:after="0"/>
              <w:rPr>
                <w:sz w:val="20"/>
                <w:szCs w:val="20"/>
                <w:color w:val="auto"/>
              </w:rPr>
            </w:pPr>
            <w:r>
              <w:rPr>
                <w:rFonts w:ascii="Times New Roman" w:cs="Times New Roman" w:eastAsia="Times New Roman" w:hAnsi="Times New Roman"/>
                <w:sz w:val="11"/>
                <w:szCs w:val="11"/>
                <w:b w:val="1"/>
                <w:bCs w:val="1"/>
                <w:color w:val="auto"/>
                <w:w w:val="98"/>
              </w:rPr>
              <w:t>At and For the Three Months Ended</w:t>
            </w: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r>
      <w:tr>
        <w:trPr>
          <w:trHeight w:val="108"/>
        </w:trPr>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300" w:type="dxa"/>
            <w:vAlign w:val="bottom"/>
          </w:tcPr>
          <w:p>
            <w:pPr>
              <w:spacing w:after="0"/>
              <w:rPr>
                <w:sz w:val="9"/>
                <w:szCs w:val="9"/>
                <w:color w:val="auto"/>
              </w:rPr>
            </w:pPr>
          </w:p>
        </w:tc>
        <w:tc>
          <w:tcPr>
            <w:tcW w:w="1200" w:type="dxa"/>
            <w:vAlign w:val="bottom"/>
            <w:gridSpan w:val="2"/>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280" w:type="dxa"/>
            <w:vAlign w:val="bottom"/>
          </w:tcPr>
          <w:p>
            <w:pPr>
              <w:spacing w:after="0"/>
              <w:rPr>
                <w:sz w:val="9"/>
                <w:szCs w:val="9"/>
                <w:color w:val="auto"/>
              </w:rPr>
            </w:pPr>
          </w:p>
        </w:tc>
        <w:tc>
          <w:tcPr>
            <w:tcW w:w="1240" w:type="dxa"/>
            <w:vAlign w:val="bottom"/>
            <w:gridSpan w:val="2"/>
          </w:tcPr>
          <w:p>
            <w:pPr>
              <w:jc w:val="center"/>
              <w:ind w:right="3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March 31,</w:t>
            </w:r>
          </w:p>
        </w:tc>
        <w:tc>
          <w:tcPr>
            <w:tcW w:w="260" w:type="dxa"/>
            <w:vAlign w:val="bottom"/>
          </w:tcPr>
          <w:p>
            <w:pPr>
              <w:spacing w:after="0"/>
              <w:rPr>
                <w:sz w:val="9"/>
                <w:szCs w:val="9"/>
                <w:color w:val="auto"/>
              </w:rPr>
            </w:pPr>
          </w:p>
        </w:tc>
        <w:tc>
          <w:tcPr>
            <w:tcW w:w="124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Pr>
          <w:p>
            <w:pPr>
              <w:spacing w:after="0"/>
              <w:rPr>
                <w:sz w:val="9"/>
                <w:szCs w:val="9"/>
                <w:color w:val="auto"/>
              </w:rPr>
            </w:pPr>
          </w:p>
        </w:tc>
        <w:tc>
          <w:tcPr>
            <w:tcW w:w="1180" w:type="dxa"/>
            <w:vAlign w:val="bottom"/>
          </w:tcPr>
          <w:p>
            <w:pPr>
              <w:jc w:val="right"/>
              <w:ind w:right="306"/>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43"/>
        </w:trPr>
        <w:tc>
          <w:tcPr>
            <w:tcW w:w="38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86"/>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44"/>
        </w:trPr>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80" w:type="dxa"/>
            <w:vAlign w:val="bottom"/>
            <w:gridSpan w:val="6"/>
          </w:tcPr>
          <w:p>
            <w:pPr>
              <w:jc w:val="center"/>
              <w:ind w:left="806"/>
              <w:spacing w:after="0"/>
              <w:rPr>
                <w:sz w:val="20"/>
                <w:szCs w:val="20"/>
                <w:color w:val="auto"/>
              </w:rPr>
            </w:pPr>
            <w:r>
              <w:rPr>
                <w:rFonts w:ascii="Times New Roman" w:cs="Times New Roman" w:eastAsia="Times New Roman" w:hAnsi="Times New Roman"/>
                <w:sz w:val="10"/>
                <w:szCs w:val="10"/>
                <w:color w:val="auto"/>
                <w:w w:val="96"/>
              </w:rPr>
              <w:t>(Dollars in thousands, except per share amounts)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8"/>
        </w:trPr>
        <w:tc>
          <w:tcPr>
            <w:tcW w:w="3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Calculation of PTPP earnings: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37,778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33,846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27,693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29,516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8,623</w:t>
            </w:r>
          </w:p>
        </w:tc>
      </w:tr>
      <w:tr>
        <w:trPr>
          <w:trHeight w:val="151"/>
        </w:trPr>
        <w:tc>
          <w:tcPr>
            <w:tcW w:w="3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2,606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4,965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3,158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36,820</w:t>
            </w:r>
          </w:p>
        </w:tc>
      </w:tr>
      <w:tr>
        <w:trPr>
          <w:trHeight w:val="153"/>
        </w:trPr>
        <w:tc>
          <w:tcPr>
            <w:tcW w:w="3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Income tax expense</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10,347</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9,270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7,584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7,933</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2,361</w:t>
            </w:r>
          </w:p>
        </w:tc>
      </w:tr>
      <w:tr>
        <w:trPr>
          <w:trHeight w:val="16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PTPP earnings (non-GAAP)</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50,731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43,181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40,242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40,607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47,804</w:t>
            </w:r>
          </w:p>
        </w:tc>
      </w:tr>
      <w:tr>
        <w:trPr>
          <w:trHeight w:val="153"/>
        </w:trPr>
        <w:tc>
          <w:tcPr>
            <w:tcW w:w="3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1"/>
        </w:trPr>
        <w:tc>
          <w:tcPr>
            <w:tcW w:w="3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Calculation of PTPP ROAA:</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PTPP earnings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50,731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43,181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40,242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40,607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47,804</w:t>
            </w:r>
          </w:p>
        </w:tc>
      </w:tr>
      <w:tr>
        <w:trPr>
          <w:trHeight w:val="151"/>
        </w:trPr>
        <w:tc>
          <w:tcPr>
            <w:tcW w:w="3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Divided by number of days in the quarter</w:t>
            </w: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92</w:t>
            </w:r>
          </w:p>
        </w:tc>
      </w:tr>
      <w:tr>
        <w:trPr>
          <w:trHeight w:val="153"/>
        </w:trPr>
        <w:tc>
          <w:tcPr>
            <w:tcW w:w="3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Multiplied by the number of days in the year</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365</w:t>
            </w:r>
          </w:p>
        </w:tc>
      </w:tr>
      <w:tr>
        <w:trPr>
          <w:trHeight w:val="142"/>
        </w:trPr>
        <w:tc>
          <w:tcPr>
            <w:tcW w:w="3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PTPP earnings, annualized</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201,270</w:t>
            </w:r>
          </w:p>
        </w:tc>
        <w:tc>
          <w:tcPr>
            <w:tcW w:w="8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173,199</w:t>
            </w:r>
          </w:p>
        </w:tc>
        <w:tc>
          <w:tcPr>
            <w:tcW w:w="8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163,204</w:t>
            </w:r>
          </w:p>
        </w:tc>
        <w:tc>
          <w:tcPr>
            <w:tcW w:w="1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161,104</w:t>
            </w:r>
          </w:p>
        </w:tc>
        <w:tc>
          <w:tcPr>
            <w:tcW w:w="10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189,657</w:t>
            </w:r>
          </w:p>
        </w:tc>
      </w:tr>
      <w:tr>
        <w:trPr>
          <w:trHeight w:val="155"/>
        </w:trPr>
        <w:tc>
          <w:tcPr>
            <w:tcW w:w="3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Divided by total average assets</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10,193,891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10,039,707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10,126,491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9,829,752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9,727,414</w:t>
            </w:r>
          </w:p>
        </w:tc>
      </w:tr>
      <w:tr>
        <w:trPr>
          <w:trHeight w:val="151"/>
        </w:trPr>
        <w:tc>
          <w:tcPr>
            <w:tcW w:w="3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ROAA (annualized) (GAAP)</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1.35 %</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0.35 %</w:t>
            </w:r>
          </w:p>
        </w:tc>
      </w:tr>
      <w:tr>
        <w:trPr>
          <w:trHeight w:val="15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PTPP ROAA (annualized) (non-GAAP)</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1.95</w:t>
            </w:r>
          </w:p>
        </w:tc>
      </w:tr>
      <w:tr>
        <w:trPr>
          <w:trHeight w:val="17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Calculation of tangible book value per common share:</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1"/>
        </w:trPr>
        <w:tc>
          <w:tcPr>
            <w:tcW w:w="3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common shareholders’ equity</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1,263,687</w:t>
            </w:r>
          </w:p>
        </w:tc>
        <w:tc>
          <w:tcPr>
            <w:tcW w:w="8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1,281,057</w:t>
            </w:r>
          </w:p>
        </w:tc>
        <w:tc>
          <w:tcPr>
            <w:tcW w:w="80" w:type="dxa"/>
            <w:vAlign w:val="bottom"/>
          </w:tcPr>
          <w:p>
            <w:pPr>
              <w:spacing w:after="0"/>
              <w:rPr>
                <w:sz w:val="13"/>
                <w:szCs w:val="13"/>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1,260,275</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1,246,685</w:t>
            </w:r>
          </w:p>
        </w:tc>
        <w:tc>
          <w:tcPr>
            <w:tcW w:w="10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1,214,756</w:t>
            </w:r>
          </w:p>
        </w:tc>
      </w:tr>
      <w:tr>
        <w:trPr>
          <w:trHeight w:val="155"/>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Goodwill</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(128,679)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(128,679)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(128,679)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(128,679)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(128,679)</w:t>
            </w:r>
          </w:p>
        </w:tc>
      </w:tr>
      <w:tr>
        <w:trPr>
          <w:trHeight w:val="151"/>
        </w:trPr>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(29,059)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(30,393)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(31,877)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(33,362)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(34,861)</w:t>
            </w:r>
          </w:p>
        </w:tc>
      </w:tr>
      <w:tr>
        <w:trPr>
          <w:trHeight w:val="14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Tangible common equity</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1,105,949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1,121,985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1,099,719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1,084,644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1,051,216</w:t>
            </w:r>
          </w:p>
        </w:tc>
      </w:tr>
      <w:tr>
        <w:trPr>
          <w:trHeight w:val="151"/>
        </w:trPr>
        <w:tc>
          <w:tcPr>
            <w:tcW w:w="3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Divided by common shares outstanding at the end of the period</w:t>
            </w: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30,602,833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30,850,397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30,879,462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30,952,428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30,967,768</w:t>
            </w:r>
          </w:p>
        </w:tc>
      </w:tr>
      <w:tr>
        <w:trPr>
          <w:trHeight w:val="15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Book value per common share (GAAP)</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41.29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41.52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40.81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40.28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39.23</w:t>
            </w:r>
          </w:p>
        </w:tc>
      </w:tr>
      <w:tr>
        <w:trPr>
          <w:trHeight w:val="151"/>
        </w:trPr>
        <w:tc>
          <w:tcPr>
            <w:tcW w:w="3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Tangible book value per common share (non-GAAP)</w:t>
            </w: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36.14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36.37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35.61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35.04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33.95</w:t>
            </w:r>
          </w:p>
        </w:tc>
      </w:tr>
      <w:tr>
        <w:trPr>
          <w:trHeight w:val="173"/>
        </w:trPr>
        <w:tc>
          <w:tcPr>
            <w:tcW w:w="3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51"/>
        </w:trPr>
        <w:tc>
          <w:tcPr>
            <w:tcW w:w="3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Calculation of ROATCE:</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37,778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33,846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27,693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29,516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8,623</w:t>
            </w:r>
          </w:p>
        </w:tc>
      </w:tr>
      <w:tr>
        <w:trPr>
          <w:trHeight w:val="151"/>
        </w:trPr>
        <w:tc>
          <w:tcPr>
            <w:tcW w:w="3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Divided by number of days in the quarter</w:t>
            </w: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92</w:t>
            </w:r>
          </w:p>
        </w:tc>
      </w:tr>
      <w:tr>
        <w:trPr>
          <w:trHeight w:val="153"/>
        </w:trPr>
        <w:tc>
          <w:tcPr>
            <w:tcW w:w="3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Multiplied by number of days in the year</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365</w:t>
            </w:r>
          </w:p>
        </w:tc>
      </w:tr>
      <w:tr>
        <w:trPr>
          <w:trHeight w:val="142"/>
        </w:trPr>
        <w:tc>
          <w:tcPr>
            <w:tcW w:w="3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Annualized net income</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149,880</w:t>
            </w:r>
          </w:p>
        </w:tc>
        <w:tc>
          <w:tcPr>
            <w:tcW w:w="8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135,756</w:t>
            </w:r>
          </w:p>
        </w:tc>
        <w:tc>
          <w:tcPr>
            <w:tcW w:w="8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112,311</w:t>
            </w:r>
          </w:p>
        </w:tc>
        <w:tc>
          <w:tcPr>
            <w:tcW w:w="1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117,102</w:t>
            </w:r>
          </w:p>
        </w:tc>
        <w:tc>
          <w:tcPr>
            <w:tcW w:w="10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34,211</w:t>
            </w:r>
          </w:p>
        </w:tc>
      </w:tr>
      <w:tr>
        <w:trPr>
          <w:trHeight w:val="182"/>
        </w:trPr>
        <w:tc>
          <w:tcPr>
            <w:tcW w:w="3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51"/>
        </w:trPr>
        <w:tc>
          <w:tcPr>
            <w:tcW w:w="3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average common shareholders’ equity</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1,287,795</w:t>
            </w:r>
          </w:p>
        </w:tc>
        <w:tc>
          <w:tcPr>
            <w:tcW w:w="8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1,275,384</w:t>
            </w:r>
          </w:p>
        </w:tc>
        <w:tc>
          <w:tcPr>
            <w:tcW w:w="80" w:type="dxa"/>
            <w:vAlign w:val="bottom"/>
          </w:tcPr>
          <w:p>
            <w:pPr>
              <w:spacing w:after="0"/>
              <w:rPr>
                <w:sz w:val="13"/>
                <w:szCs w:val="13"/>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1,267,888</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1,232,878</w:t>
            </w:r>
          </w:p>
        </w:tc>
        <w:tc>
          <w:tcPr>
            <w:tcW w:w="10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1,227,431</w:t>
            </w:r>
          </w:p>
        </w:tc>
      </w:tr>
      <w:tr>
        <w:trPr>
          <w:trHeight w:val="155"/>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Average goodwill</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(128,679)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(128,679)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(128,679)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(128,679)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(128,679)</w:t>
            </w:r>
          </w:p>
        </w:tc>
      </w:tr>
      <w:tr>
        <w:trPr>
          <w:trHeight w:val="151"/>
        </w:trPr>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Average other intangible assets, net</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(29,772)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(31,142)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(32,679)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(34,293)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(35,741)</w:t>
            </w:r>
          </w:p>
        </w:tc>
      </w:tr>
      <w:tr>
        <w:trPr>
          <w:trHeight w:val="14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Average tangible common equity</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1,129,344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1,115,563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1,106,530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1,069,906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1,063,011</w:t>
            </w:r>
          </w:p>
        </w:tc>
      </w:tr>
      <w:tr>
        <w:trPr>
          <w:trHeight w:val="180"/>
        </w:trPr>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5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ROAE (annualized) (GAAP)</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11.64 %</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10.64 %</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8.86 %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9.50 %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2.79 %</w:t>
            </w:r>
          </w:p>
        </w:tc>
      </w:tr>
      <w:tr>
        <w:trPr>
          <w:trHeight w:val="149"/>
        </w:trPr>
        <w:tc>
          <w:tcPr>
            <w:tcW w:w="3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ROATCE (annualized) (non-GAAP)</w:t>
            </w:r>
          </w:p>
        </w:tc>
        <w:tc>
          <w:tcPr>
            <w:tcW w:w="220" w:type="dxa"/>
            <w:vAlign w:val="bottom"/>
          </w:tcPr>
          <w:p>
            <w:pPr>
              <w:spacing w:after="0"/>
              <w:rPr>
                <w:sz w:val="12"/>
                <w:szCs w:val="12"/>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13.27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12.17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10.95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3.22</w:t>
            </w: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280"/>
          </w:cols>
          <w:pgMar w:left="300" w:top="125" w:right="31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Origin Bancorp,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Non-GAAP Financial Measures - Continued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4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540" w:type="dxa"/>
            <w:vAlign w:val="bottom"/>
            <w:tcBorders>
              <w:bottom w:val="single" w:sz="8" w:color="auto"/>
            </w:tcBorders>
          </w:tcPr>
          <w:p>
            <w:pPr>
              <w:spacing w:after="0"/>
              <w:rPr>
                <w:sz w:val="12"/>
                <w:szCs w:val="12"/>
                <w:color w:val="auto"/>
              </w:rPr>
            </w:pPr>
          </w:p>
        </w:tc>
      </w:tr>
      <w:tr>
        <w:trPr>
          <w:trHeight w:val="142"/>
        </w:trPr>
        <w:tc>
          <w:tcPr>
            <w:tcW w:w="6040" w:type="dxa"/>
            <w:vAlign w:val="bottom"/>
          </w:tcPr>
          <w:p>
            <w:pPr>
              <w:spacing w:after="0"/>
              <w:rPr>
                <w:sz w:val="12"/>
                <w:szCs w:val="12"/>
                <w:color w:val="auto"/>
              </w:rPr>
            </w:pPr>
          </w:p>
        </w:tc>
        <w:tc>
          <w:tcPr>
            <w:tcW w:w="1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12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45"/>
        </w:trPr>
        <w:tc>
          <w:tcPr>
            <w:tcW w:w="6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180" w:type="dxa"/>
            <w:vAlign w:val="bottom"/>
            <w:gridSpan w:val="3"/>
          </w:tcPr>
          <w:p>
            <w:pPr>
              <w:jc w:val="right"/>
              <w:ind w:right="106"/>
              <w:spacing w:after="0"/>
              <w:rPr>
                <w:sz w:val="20"/>
                <w:szCs w:val="20"/>
                <w:color w:val="auto"/>
              </w:rPr>
            </w:pPr>
            <w:r>
              <w:rPr>
                <w:rFonts w:ascii="Times New Roman" w:cs="Times New Roman" w:eastAsia="Times New Roman" w:hAnsi="Times New Roman"/>
                <w:sz w:val="10"/>
                <w:szCs w:val="10"/>
                <w:color w:val="auto"/>
              </w:rPr>
              <w:t>(Dollars in thousands, except per share amounts)</w:t>
            </w:r>
          </w:p>
        </w:tc>
        <w:tc>
          <w:tcPr>
            <w:tcW w:w="1540" w:type="dxa"/>
            <w:vAlign w:val="bottom"/>
          </w:tcPr>
          <w:p>
            <w:pPr>
              <w:spacing w:after="0"/>
              <w:rPr>
                <w:sz w:val="12"/>
                <w:szCs w:val="12"/>
                <w:color w:val="auto"/>
              </w:rPr>
            </w:pPr>
          </w:p>
        </w:tc>
      </w:tr>
      <w:tr>
        <w:trPr>
          <w:trHeight w:val="168"/>
        </w:trPr>
        <w:tc>
          <w:tcPr>
            <w:tcW w:w="6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Calculation of PTPP earnings:</w:t>
            </w: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5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1540" w:type="dxa"/>
            <w:vAlign w:val="bottom"/>
            <w:shd w:val="clear" w:color="auto" w:fill="CCEEFF"/>
          </w:tcPr>
          <w:p>
            <w:pPr>
              <w:jc w:val="right"/>
              <w:ind w:right="14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99,317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45,681</w:t>
            </w:r>
          </w:p>
        </w:tc>
      </w:tr>
      <w:tr>
        <w:trPr>
          <w:trHeight w:val="151"/>
        </w:trPr>
        <w:tc>
          <w:tcPr>
            <w:tcW w:w="60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1540" w:type="dxa"/>
            <w:vAlign w:val="bottom"/>
          </w:tcPr>
          <w:p>
            <w:pPr>
              <w:spacing w:after="0"/>
              <w:rPr>
                <w:sz w:val="13"/>
                <w:szCs w:val="13"/>
                <w:color w:val="auto"/>
              </w:rPr>
            </w:pP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7,636</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43,126</w:t>
            </w:r>
          </w:p>
        </w:tc>
      </w:tr>
      <w:tr>
        <w:trPr>
          <w:trHeight w:val="153"/>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Income tax expense</w:t>
            </w:r>
          </w:p>
        </w:tc>
        <w:tc>
          <w:tcPr>
            <w:tcW w:w="15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27,201</w:t>
            </w:r>
          </w:p>
        </w:tc>
        <w:tc>
          <w:tcPr>
            <w:tcW w:w="10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12,511</w:t>
            </w:r>
          </w:p>
        </w:tc>
      </w:tr>
      <w:tr>
        <w:trPr>
          <w:trHeight w:val="160"/>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PTPP earnings (non-GAAP)</w:t>
            </w:r>
          </w:p>
        </w:tc>
        <w:tc>
          <w:tcPr>
            <w:tcW w:w="1540" w:type="dxa"/>
            <w:vAlign w:val="bottom"/>
            <w:tcBorders>
              <w:bottom w:val="single" w:sz="8" w:color="auto"/>
            </w:tcBorders>
          </w:tcPr>
          <w:p>
            <w:pPr>
              <w:jc w:val="right"/>
              <w:ind w:right="14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134,154</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101,318</w:t>
            </w:r>
          </w:p>
        </w:tc>
      </w:tr>
      <w:tr>
        <w:trPr>
          <w:trHeight w:val="153"/>
        </w:trPr>
        <w:tc>
          <w:tcPr>
            <w:tcW w:w="60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151"/>
        </w:trPr>
        <w:tc>
          <w:tcPr>
            <w:tcW w:w="6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Calculation of PTPP ROAA:</w:t>
            </w: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PTPP Earnings</w:t>
            </w:r>
          </w:p>
        </w:tc>
        <w:tc>
          <w:tcPr>
            <w:tcW w:w="1540" w:type="dxa"/>
            <w:vAlign w:val="bottom"/>
            <w:shd w:val="clear" w:color="auto" w:fill="CCEEFF"/>
          </w:tcPr>
          <w:p>
            <w:pPr>
              <w:jc w:val="right"/>
              <w:ind w:right="14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134,154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101,318</w:t>
            </w:r>
          </w:p>
        </w:tc>
      </w:tr>
      <w:tr>
        <w:trPr>
          <w:trHeight w:val="151"/>
        </w:trPr>
        <w:tc>
          <w:tcPr>
            <w:tcW w:w="60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Divided by the year-to-date number of days</w:t>
            </w:r>
          </w:p>
        </w:tc>
        <w:tc>
          <w:tcPr>
            <w:tcW w:w="1540" w:type="dxa"/>
            <w:vAlign w:val="bottom"/>
          </w:tcPr>
          <w:p>
            <w:pPr>
              <w:spacing w:after="0"/>
              <w:rPr>
                <w:sz w:val="13"/>
                <w:szCs w:val="13"/>
                <w:color w:val="auto"/>
              </w:rPr>
            </w:pP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273</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273</w:t>
            </w:r>
          </w:p>
        </w:tc>
      </w:tr>
      <w:tr>
        <w:trPr>
          <w:trHeight w:val="153"/>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Multiplied by number of days in the year</w:t>
            </w:r>
          </w:p>
        </w:tc>
        <w:tc>
          <w:tcPr>
            <w:tcW w:w="15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365</w:t>
            </w:r>
          </w:p>
        </w:tc>
      </w:tr>
      <w:tr>
        <w:trPr>
          <w:trHeight w:val="142"/>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Annualized PTPP Earnings</w:t>
            </w:r>
          </w:p>
        </w:tc>
        <w:tc>
          <w:tcPr>
            <w:tcW w:w="1540" w:type="dxa"/>
            <w:vAlign w:val="bottom"/>
          </w:tcPr>
          <w:p>
            <w:pPr>
              <w:jc w:val="right"/>
              <w:ind w:right="14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179,363</w:t>
            </w:r>
          </w:p>
        </w:tc>
        <w:tc>
          <w:tcPr>
            <w:tcW w:w="100" w:type="dxa"/>
            <w:vAlign w:val="bottom"/>
          </w:tcPr>
          <w:p>
            <w:pPr>
              <w:spacing w:after="0"/>
              <w:rPr>
                <w:sz w:val="12"/>
                <w:szCs w:val="12"/>
                <w:color w:val="auto"/>
              </w:rPr>
            </w:pPr>
          </w:p>
        </w:tc>
        <w:tc>
          <w:tcPr>
            <w:tcW w:w="104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135,462</w:t>
            </w:r>
          </w:p>
        </w:tc>
      </w:tr>
      <w:tr>
        <w:trPr>
          <w:trHeight w:val="74"/>
        </w:trPr>
        <w:tc>
          <w:tcPr>
            <w:tcW w:w="60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151"/>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Total average assets</w:t>
            </w:r>
          </w:p>
        </w:tc>
        <w:tc>
          <w:tcPr>
            <w:tcW w:w="1540" w:type="dxa"/>
            <w:vAlign w:val="bottom"/>
          </w:tcPr>
          <w:p>
            <w:pPr>
              <w:jc w:val="right"/>
              <w:ind w:right="14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10,120,276</w:t>
            </w:r>
          </w:p>
        </w:tc>
        <w:tc>
          <w:tcPr>
            <w:tcW w:w="100" w:type="dxa"/>
            <w:vAlign w:val="bottom"/>
          </w:tcPr>
          <w:p>
            <w:pPr>
              <w:spacing w:after="0"/>
              <w:rPr>
                <w:sz w:val="13"/>
                <w:szCs w:val="13"/>
                <w:color w:val="auto"/>
              </w:rPr>
            </w:pPr>
          </w:p>
        </w:tc>
        <w:tc>
          <w:tcPr>
            <w:tcW w:w="104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9,750,221</w:t>
            </w:r>
          </w:p>
        </w:tc>
      </w:tr>
      <w:tr>
        <w:trPr>
          <w:trHeight w:val="74"/>
        </w:trPr>
        <w:tc>
          <w:tcPr>
            <w:tcW w:w="60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151"/>
        </w:trPr>
        <w:tc>
          <w:tcPr>
            <w:tcW w:w="6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ROAA(annualized)(GAAP)</w:t>
            </w:r>
          </w:p>
        </w:tc>
        <w:tc>
          <w:tcPr>
            <w:tcW w:w="1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1.31 %</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0.63 %</w:t>
            </w:r>
          </w:p>
        </w:tc>
      </w:tr>
      <w:tr>
        <w:trPr>
          <w:trHeight w:val="15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PTPP ROAA(annualized)(non-GAAP)</w:t>
            </w: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1.39</w:t>
            </w:r>
          </w:p>
        </w:tc>
      </w:tr>
      <w:tr>
        <w:trPr>
          <w:trHeight w:val="72"/>
        </w:trPr>
        <w:tc>
          <w:tcPr>
            <w:tcW w:w="60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40" w:type="dxa"/>
            <w:vAlign w:val="bottom"/>
          </w:tcPr>
          <w:p>
            <w:pPr>
              <w:spacing w:after="0"/>
              <w:rPr>
                <w:sz w:val="6"/>
                <w:szCs w:val="6"/>
                <w:color w:val="auto"/>
              </w:rPr>
            </w:pPr>
          </w:p>
        </w:tc>
      </w:tr>
      <w:tr>
        <w:trPr>
          <w:trHeight w:val="15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Calculation of ROATCE:</w:t>
            </w: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151"/>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1540" w:type="dxa"/>
            <w:vAlign w:val="bottom"/>
          </w:tcPr>
          <w:p>
            <w:pPr>
              <w:jc w:val="right"/>
              <w:ind w:right="14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99,317</w:t>
            </w:r>
          </w:p>
        </w:tc>
        <w:tc>
          <w:tcPr>
            <w:tcW w:w="100" w:type="dxa"/>
            <w:vAlign w:val="bottom"/>
          </w:tcPr>
          <w:p>
            <w:pPr>
              <w:spacing w:after="0"/>
              <w:rPr>
                <w:sz w:val="13"/>
                <w:szCs w:val="13"/>
                <w:color w:val="auto"/>
              </w:rPr>
            </w:pPr>
          </w:p>
        </w:tc>
        <w:tc>
          <w:tcPr>
            <w:tcW w:w="104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45,681</w:t>
            </w:r>
          </w:p>
        </w:tc>
      </w:tr>
      <w:tr>
        <w:trPr>
          <w:trHeight w:val="155"/>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Divided by the year-to-date number of days</w:t>
            </w: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273</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273</w:t>
            </w:r>
          </w:p>
        </w:tc>
      </w:tr>
      <w:tr>
        <w:trPr>
          <w:trHeight w:val="151"/>
        </w:trPr>
        <w:tc>
          <w:tcPr>
            <w:tcW w:w="6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Multiplied by number of days in the year</w:t>
            </w:r>
          </w:p>
        </w:tc>
        <w:tc>
          <w:tcPr>
            <w:tcW w:w="1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365</w:t>
            </w:r>
          </w:p>
        </w:tc>
      </w:tr>
      <w:tr>
        <w:trPr>
          <w:trHeight w:val="14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Annualized net income</w:t>
            </w:r>
          </w:p>
        </w:tc>
        <w:tc>
          <w:tcPr>
            <w:tcW w:w="1540" w:type="dxa"/>
            <w:vAlign w:val="bottom"/>
            <w:shd w:val="clear" w:color="auto" w:fill="CCEEFF"/>
          </w:tcPr>
          <w:p>
            <w:pPr>
              <w:jc w:val="right"/>
              <w:ind w:right="14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132,786</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61,075</w:t>
            </w:r>
          </w:p>
        </w:tc>
      </w:tr>
      <w:tr>
        <w:trPr>
          <w:trHeight w:val="72"/>
        </w:trPr>
        <w:tc>
          <w:tcPr>
            <w:tcW w:w="60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40" w:type="dxa"/>
            <w:vAlign w:val="bottom"/>
          </w:tcPr>
          <w:p>
            <w:pPr>
              <w:spacing w:after="0"/>
              <w:rPr>
                <w:sz w:val="6"/>
                <w:szCs w:val="6"/>
                <w:color w:val="auto"/>
              </w:rPr>
            </w:pPr>
          </w:p>
        </w:tc>
      </w:tr>
      <w:tr>
        <w:trPr>
          <w:trHeight w:val="15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average common shareholders’ equity</w:t>
            </w:r>
          </w:p>
        </w:tc>
        <w:tc>
          <w:tcPr>
            <w:tcW w:w="1540" w:type="dxa"/>
            <w:vAlign w:val="bottom"/>
            <w:shd w:val="clear" w:color="auto" w:fill="CCEEFF"/>
          </w:tcPr>
          <w:p>
            <w:pPr>
              <w:jc w:val="right"/>
              <w:ind w:right="14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1,277,095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1,195,059</w:t>
            </w:r>
          </w:p>
        </w:tc>
      </w:tr>
      <w:tr>
        <w:trPr>
          <w:trHeight w:val="151"/>
        </w:trPr>
        <w:tc>
          <w:tcPr>
            <w:tcW w:w="60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Average goodwill</w:t>
            </w:r>
          </w:p>
        </w:tc>
        <w:tc>
          <w:tcPr>
            <w:tcW w:w="1540" w:type="dxa"/>
            <w:vAlign w:val="bottom"/>
          </w:tcPr>
          <w:p>
            <w:pPr>
              <w:spacing w:after="0"/>
              <w:rPr>
                <w:sz w:val="13"/>
                <w:szCs w:val="13"/>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(128,679)</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(128,679)</w:t>
            </w:r>
          </w:p>
        </w:tc>
      </w:tr>
      <w:tr>
        <w:trPr>
          <w:trHeight w:val="153"/>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Average other intangible assets, net</w:t>
            </w:r>
          </w:p>
        </w:tc>
        <w:tc>
          <w:tcPr>
            <w:tcW w:w="15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(31,187)</w:t>
            </w:r>
          </w:p>
        </w:tc>
        <w:tc>
          <w:tcPr>
            <w:tcW w:w="10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(37,142)</w:t>
            </w:r>
          </w:p>
        </w:tc>
      </w:tr>
      <w:tr>
        <w:trPr>
          <w:trHeight w:val="142"/>
        </w:trPr>
        <w:tc>
          <w:tcPr>
            <w:tcW w:w="6040" w:type="dxa"/>
            <w:vAlign w:val="bottom"/>
          </w:tcPr>
          <w:p>
            <w:pPr>
              <w:spacing w:after="0"/>
              <w:rPr>
                <w:sz w:val="20"/>
                <w:szCs w:val="20"/>
                <w:color w:val="auto"/>
              </w:rPr>
            </w:pPr>
            <w:r>
              <w:rPr>
                <w:rFonts w:ascii="Times New Roman" w:cs="Times New Roman" w:eastAsia="Times New Roman" w:hAnsi="Times New Roman"/>
                <w:sz w:val="11"/>
                <w:szCs w:val="11"/>
                <w:color w:val="auto"/>
              </w:rPr>
              <w:t>Average tangible common equity</w:t>
            </w:r>
          </w:p>
        </w:tc>
        <w:tc>
          <w:tcPr>
            <w:tcW w:w="1540" w:type="dxa"/>
            <w:vAlign w:val="bottom"/>
          </w:tcPr>
          <w:p>
            <w:pPr>
              <w:spacing w:after="0"/>
              <w:rPr>
                <w:sz w:val="12"/>
                <w:szCs w:val="12"/>
                <w:color w:val="auto"/>
              </w:rPr>
            </w:pP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1,117,229</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1,029,238</w:t>
            </w:r>
          </w:p>
        </w:tc>
      </w:tr>
      <w:tr>
        <w:trPr>
          <w:trHeight w:val="74"/>
        </w:trPr>
        <w:tc>
          <w:tcPr>
            <w:tcW w:w="60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151"/>
        </w:trPr>
        <w:tc>
          <w:tcPr>
            <w:tcW w:w="6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ROAE(annualized)(GAAP)</w:t>
            </w:r>
          </w:p>
        </w:tc>
        <w:tc>
          <w:tcPr>
            <w:tcW w:w="1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10.40 %</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5.11 %</w:t>
            </w:r>
          </w:p>
        </w:tc>
      </w:tr>
      <w:tr>
        <w:trPr>
          <w:trHeight w:val="15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ROATCE(annualized)(non-GAAP)</w:t>
            </w: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11.89</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5.93</w:t>
            </w:r>
          </w:p>
        </w:tc>
      </w:tr>
    </w:tbl>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300"/>
          </w:cols>
          <w:pgMar w:left="300" w:top="125" w:right="299" w:bottom="1440"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8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1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2"/>
          <w:szCs w:val="1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47625</wp:posOffset>
            </wp:positionV>
            <wp:extent cx="3360420" cy="548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04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FOR IMMEDIATE RELEASE</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October 28, 2026</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Origin Bancorp, Inc. Announces Declaration of Quarterly Cash Dividend</w:t>
      </w:r>
    </w:p>
    <w:p>
      <w:pPr>
        <w:spacing w:after="0" w:line="118"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color w:val="auto"/>
        </w:rPr>
        <w:t>RUSTON, LOUISIANA (October 28, 2026) - Origin Bancorp, Inc. (NYSE: OBK) ("Origin"), the holding company for Origin Bank, today announced that on October 28, 2026, its board of directors declared a quarterly cash dividend of $0.28 per share of its common stock. The cash dividend will be paid on November 30, 2026, to stockholders of record as of the close of business on November 13,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Origin Bancorp, Inc.</w:t>
      </w:r>
    </w:p>
    <w:p>
      <w:pPr>
        <w:spacing w:after="0" w:line="118"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0A0A0A"/>
          <w:highlight w:val="white"/>
        </w:rPr>
        <w:t xml:space="preserve">Origin Bancorp, Inc. is </w:t>
      </w:r>
      <w:r>
        <w:rPr>
          <w:rFonts w:ascii="Times New Roman" w:cs="Times New Roman" w:eastAsia="Times New Roman" w:hAnsi="Times New Roman"/>
          <w:sz w:val="12"/>
          <w:szCs w:val="12"/>
          <w:color w:val="000000"/>
        </w:rPr>
        <w:t>a financial holding company headquartered in Ruston, Louisiana. Origin’s wholly owned bank subsidiary, Origin Bank, was founded in 1912 in Choudrant, Louisiana. Deeply rooted in Origin’s history is</w:t>
      </w:r>
      <w:r>
        <w:rPr>
          <w:rFonts w:ascii="Times New Roman" w:cs="Times New Roman" w:eastAsia="Times New Roman" w:hAnsi="Times New Roman"/>
          <w:sz w:val="12"/>
          <w:szCs w:val="12"/>
          <w:color w:val="0A0A0A"/>
          <w:highlight w:val="white"/>
        </w:rPr>
        <w:t xml:space="preserve"> </w:t>
      </w:r>
      <w:r>
        <w:rPr>
          <w:rFonts w:ascii="Times New Roman" w:cs="Times New Roman" w:eastAsia="Times New Roman" w:hAnsi="Times New Roman"/>
          <w:sz w:val="12"/>
          <w:szCs w:val="12"/>
          <w:color w:val="000000"/>
        </w:rPr>
        <w:t xml:space="preserve">a culture committed to providing personalized relationship banking to businesses, municipalities, and personal clients to enrich the lives of the people in the communities it serves. Origin provides a broad range of financial services and currently operates more than 57 locations in Dallas/Fort Worth, East Texas, Houston, North Louisiana, Mississippi, Alabama and the Florida Panhandle. In addition, Origin provides a broad range of insurance agency products and services through its wholly owned insurance agency subsidiary, Forth Insurance, LLC. For more information, visit </w:t>
      </w:r>
      <w:r>
        <w:rPr>
          <w:rFonts w:ascii="Times New Roman" w:cs="Times New Roman" w:eastAsia="Times New Roman" w:hAnsi="Times New Roman"/>
          <w:sz w:val="12"/>
          <w:szCs w:val="12"/>
          <w:u w:val="single" w:color="auto"/>
          <w:color w:val="000000"/>
        </w:rPr>
        <w:t>www.origin.bank</w:t>
      </w:r>
      <w:r>
        <w:rPr>
          <w:rFonts w:ascii="Times New Roman" w:cs="Times New Roman" w:eastAsia="Times New Roman" w:hAnsi="Times New Roman"/>
          <w:sz w:val="12"/>
          <w:szCs w:val="12"/>
          <w:color w:val="000000"/>
        </w:rPr>
        <w:t xml:space="preserve"> and </w:t>
      </w:r>
      <w:r>
        <w:rPr>
          <w:rFonts w:ascii="Times New Roman" w:cs="Times New Roman" w:eastAsia="Times New Roman" w:hAnsi="Times New Roman"/>
          <w:sz w:val="12"/>
          <w:szCs w:val="12"/>
          <w:u w:val="single" w:color="auto"/>
          <w:color w:val="000000"/>
        </w:rPr>
        <w:t>www.forthinsurance.com</w:t>
      </w:r>
      <w:r>
        <w:rPr>
          <w:rFonts w:ascii="Times New Roman" w:cs="Times New Roman" w:eastAsia="Times New Roman" w:hAnsi="Times New Roman"/>
          <w:sz w:val="12"/>
          <w:szCs w:val="12"/>
          <w:color w:val="000000"/>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When used in filings by Origin Bancorp, Inc. (the "Company") with the Securities and Exchange Commission (the "SEC"), in the Company's press releases or other public or stockholder communications, and in oral statements made with the approval of an authorized executive officer, the words or phrases "anticipates," "believes," "estimates," "expects," “foresees,” "intends," "plans," "projects," and similar expressions or future or conditional verbs such as "could," "may," “might,” "should," "will," and "would" or variations of such terms" are intended to identify "forward-looking statements" within the meaning of the Private Securities Litigation Reform Act of 1995. Such statements are subject to certain risks and uncertainties that could cause actual results to differ materially from historical earnings and those presently anticipated or projected. Factors that might cause such a difference include among other things: the expected payment date of its quarterly cash dividend; changes in economic conditions; other legislative changes generally; changes in policies by regulatory agencies; fluctuations in interest rates; the risks of lending and investing activities, including changes in the level and direction of loan delinquencies and write-offs and changes in estimates of the adequacy of the allowance for loan losses; the Company's ability to access cost-effective funding; fluctuations in real estate values and both residential and commercial real estate market conditions; demand for loans and deposits in the Company's market area; competition; and changes in management’s business strategies and other factors set forth in the Company's filings with the SEC.</w:t>
      </w:r>
    </w:p>
    <w:p>
      <w:pPr>
        <w:spacing w:after="0" w:line="87" w:lineRule="exact"/>
        <w:rPr>
          <w:sz w:val="20"/>
          <w:szCs w:val="20"/>
          <w:color w:val="auto"/>
        </w:rPr>
      </w:pPr>
    </w:p>
    <w:p>
      <w:pPr>
        <w:ind w:right="280"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The Company does not undertake and specifically declines any obligation - to update or revise any forward-looking statements to reflect events or circumstances that occur after the date of such statements or to reflect the occurrence of anticipated or unanticipated events.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 Reigelman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318-497-3177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chris@origin.bank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Media Contact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Ryan Kilpatrick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318-232-7472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rkilpatrick@origin.bank</w:t>
      </w:r>
    </w:p>
    <w:sectPr>
      <w:pgSz w:w="11900" w:h="16838" w:orient="portrait"/>
      <w:cols w:equalWidth="0" w:num="1">
        <w:col w:w="11300"/>
      </w:cols>
      <w:pgMar w:left="300" w:top="70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2026-10-28T15:09:11Z</dcterms:created>
  <dcterms:modified xsi:type="dcterms:W3CDTF">2026-10-28T15:09:11Z</dcterms:modified>
</cp:coreProperties>
</file>