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73"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FORM 11-K</w:t>
      </w:r>
    </w:p>
    <w:p>
      <w:pPr>
        <w:spacing w:after="0" w:line="200" w:lineRule="exact"/>
        <w:rPr>
          <w:sz w:val="24"/>
          <w:szCs w:val="24"/>
          <w:color w:val="auto"/>
        </w:rPr>
      </w:pPr>
    </w:p>
    <w:p>
      <w:pPr>
        <w:spacing w:after="0" w:line="295" w:lineRule="exact"/>
        <w:rPr>
          <w:sz w:val="24"/>
          <w:szCs w:val="24"/>
          <w:color w:val="auto"/>
        </w:rPr>
      </w:pPr>
    </w:p>
    <w:p>
      <w:pPr>
        <w:jc w:val="center"/>
        <w:ind w:left="1580" w:right="1720"/>
        <w:spacing w:after="0" w:line="268" w:lineRule="auto"/>
        <w:rPr>
          <w:sz w:val="20"/>
          <w:szCs w:val="20"/>
          <w:color w:val="auto"/>
        </w:rPr>
      </w:pPr>
      <w:r>
        <w:rPr>
          <w:rFonts w:ascii="Times New Roman" w:cs="Times New Roman" w:eastAsia="Times New Roman" w:hAnsi="Times New Roman"/>
          <w:sz w:val="18"/>
          <w:szCs w:val="18"/>
          <w:b w:val="1"/>
          <w:bCs w:val="1"/>
          <w:color w:val="auto"/>
        </w:rPr>
        <w:t>FOR ANNUAL REPORTS OF EMPLOYEE STOCK PURCHASE, SAVINGS AND SIMILAR PLANS PURSUANT TO SECTION 15(d) OF THE SECURITIES EXCHANGE ACT OF 1934</w:t>
      </w:r>
    </w:p>
    <w:p>
      <w:pPr>
        <w:spacing w:after="0" w:line="200" w:lineRule="exact"/>
        <w:rPr>
          <w:sz w:val="24"/>
          <w:szCs w:val="24"/>
          <w:color w:val="auto"/>
        </w:rPr>
      </w:pPr>
    </w:p>
    <w:p>
      <w:pPr>
        <w:spacing w:after="0" w:line="28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 X ] ANNUAL REPORT PURSUANT TO SECTION 15(d) OF THE SECURITIES EXCHANGE ACT OF 1934</w:t>
      </w:r>
    </w:p>
    <w:p>
      <w:pPr>
        <w:spacing w:after="0" w:line="284"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93" w:lineRule="exact"/>
        <w:rPr>
          <w:sz w:val="24"/>
          <w:szCs w:val="24"/>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93" w:lineRule="exact"/>
        <w:rPr>
          <w:sz w:val="24"/>
          <w:szCs w:val="24"/>
          <w:color w:val="auto"/>
        </w:rPr>
      </w:pPr>
    </w:p>
    <w:p>
      <w:pPr>
        <w:jc w:val="center"/>
        <w:ind w:left="2540" w:right="139" w:hanging="1397"/>
        <w:spacing w:after="0" w:line="892" w:lineRule="auto"/>
        <w:tabs>
          <w:tab w:leader="none" w:pos="1245"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TRANSITION REPORT PURSUANT TO SECTION 15(d) OF THE SECURITIES EXCHANGE ACT OF 1934 For the transition period from ___________________ to ___________________</w:t>
      </w:r>
    </w:p>
    <w:p>
      <w:pPr>
        <w:ind w:left="4140"/>
        <w:spacing w:after="0"/>
        <w:rPr>
          <w:sz w:val="20"/>
          <w:szCs w:val="20"/>
          <w:color w:val="auto"/>
        </w:rPr>
      </w:pPr>
      <w:r>
        <w:rPr>
          <w:rFonts w:ascii="Times New Roman" w:cs="Times New Roman" w:eastAsia="Times New Roman" w:hAnsi="Times New Roman"/>
          <w:sz w:val="18"/>
          <w:szCs w:val="18"/>
          <w:b w:val="1"/>
          <w:bCs w:val="1"/>
          <w:color w:val="auto"/>
        </w:rPr>
        <w:t>Commission File Number: 001-38487</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Full title of the plan and the address of the plan, if different from that of the issuer named below:</w:t>
      </w:r>
    </w:p>
    <w:p>
      <w:pPr>
        <w:spacing w:after="0" w:line="15"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ind w:left="4140"/>
        <w:spacing w:after="0"/>
        <w:rPr>
          <w:sz w:val="20"/>
          <w:szCs w:val="20"/>
          <w:color w:val="auto"/>
        </w:rPr>
      </w:pPr>
      <w:r>
        <w:rPr>
          <w:rFonts w:ascii="Times New Roman" w:cs="Times New Roman" w:eastAsia="Times New Roman" w:hAnsi="Times New Roman"/>
          <w:sz w:val="18"/>
          <w:szCs w:val="18"/>
          <w:b w:val="1"/>
          <w:bCs w:val="1"/>
          <w:color w:val="auto"/>
        </w:rPr>
        <w:t>EMPLOYEE RETIREMENT PLAN</w:t>
      </w: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Name of issuer of the securities held pursuant to the plan and the address of its principal executive office:</w:t>
      </w:r>
    </w:p>
    <w:p>
      <w:pPr>
        <w:spacing w:after="0" w:line="15"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ind w:left="4120"/>
        <w:spacing w:after="0" w:line="219" w:lineRule="auto"/>
        <w:rPr>
          <w:sz w:val="20"/>
          <w:szCs w:val="20"/>
          <w:color w:val="auto"/>
        </w:rPr>
      </w:pPr>
      <w:r>
        <w:rPr>
          <w:rFonts w:ascii="Times New Roman" w:cs="Times New Roman" w:eastAsia="Times New Roman" w:hAnsi="Times New Roman"/>
          <w:sz w:val="18"/>
          <w:szCs w:val="18"/>
          <w:b w:val="1"/>
          <w:bCs w:val="1"/>
          <w:color w:val="auto"/>
        </w:rPr>
        <w:t>500 SOUTH SERVICE ROAD EAST</w:t>
      </w:r>
    </w:p>
    <w:p>
      <w:pPr>
        <w:ind w:left="4380"/>
        <w:spacing w:after="0"/>
        <w:rPr>
          <w:sz w:val="20"/>
          <w:szCs w:val="20"/>
          <w:color w:val="auto"/>
        </w:rPr>
      </w:pPr>
      <w:r>
        <w:rPr>
          <w:rFonts w:ascii="Times New Roman" w:cs="Times New Roman" w:eastAsia="Times New Roman" w:hAnsi="Times New Roman"/>
          <w:sz w:val="18"/>
          <w:szCs w:val="18"/>
          <w:b w:val="1"/>
          <w:bCs w:val="1"/>
          <w:color w:val="auto"/>
        </w:rPr>
        <w:t>RUSTON, LOUISIANA 71270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1063625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278" w:right="1440" w:bottom="1440" w:gutter="0" w:footer="0" w:header="0"/>
        </w:sectPr>
      </w:pPr>
    </w:p>
    <w:bookmarkStart w:id="1" w:name="page2"/>
    <w:bookmarkEnd w:id="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 RETIREMENT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6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95"/>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0" w:type="dxa"/>
            <w:vAlign w:val="bottom"/>
            <w:gridSpan w:val="5"/>
          </w:tcPr>
          <w:p>
            <w:pPr>
              <w:ind w:left="12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4"/>
        </w:trPr>
        <w:tc>
          <w:tcPr>
            <w:tcW w:w="20" w:type="dxa"/>
            <w:vAlign w:val="bottom"/>
          </w:tcPr>
          <w:p>
            <w:pPr>
              <w:spacing w:after="0"/>
              <w:rPr>
                <w:sz w:val="16"/>
                <w:szCs w:val="16"/>
                <w:color w:val="auto"/>
              </w:rPr>
            </w:pPr>
          </w:p>
        </w:tc>
        <w:tc>
          <w:tcPr>
            <w:tcW w:w="942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560" w:type="dxa"/>
            <w:vAlign w:val="bottom"/>
            <w:gridSpan w:val="4"/>
          </w:tcPr>
          <w:p>
            <w:pPr>
              <w:jc w:val="center"/>
              <w:ind w:left="1270"/>
              <w:spacing w:after="0" w:line="194" w:lineRule="exact"/>
              <w:rPr>
                <w:sz w:val="20"/>
                <w:szCs w:val="20"/>
                <w:color w:val="auto"/>
              </w:rPr>
            </w:pPr>
            <w:r>
              <w:rPr>
                <w:rFonts w:ascii="Times New Roman" w:cs="Times New Roman" w:eastAsia="Times New Roman" w:hAnsi="Times New Roman"/>
                <w:sz w:val="18"/>
                <w:szCs w:val="18"/>
                <w:color w:val="0000FF"/>
                <w:w w:val="88"/>
              </w:rPr>
              <w:t>3</w:t>
            </w:r>
          </w:p>
        </w:tc>
        <w:tc>
          <w:tcPr>
            <w:tcW w:w="24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15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Financial Statements:</w:t>
            </w:r>
          </w:p>
        </w:tc>
        <w:tc>
          <w:tcPr>
            <w:tcW w:w="2660" w:type="dxa"/>
            <w:vAlign w:val="bottom"/>
            <w:tcBorders>
              <w:top w:val="single" w:sz="8" w:color="0000FF"/>
            </w:tcBorders>
            <w:gridSpan w:val="3"/>
          </w:tcPr>
          <w:p>
            <w:pPr>
              <w:spacing w:after="0"/>
              <w:rPr>
                <w:sz w:val="18"/>
                <w:szCs w:val="18"/>
                <w:color w:val="auto"/>
              </w:rPr>
            </w:pPr>
          </w:p>
        </w:tc>
        <w:tc>
          <w:tcPr>
            <w:tcW w:w="5200" w:type="dxa"/>
            <w:vAlign w:val="bottom"/>
            <w:gridSpan w:val="4"/>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Statements of Net Assets Available for Benefits as of December 31, 2025 and 2024</w:t>
            </w:r>
          </w:p>
        </w:tc>
        <w:tc>
          <w:tcPr>
            <w:tcW w:w="1560" w:type="dxa"/>
            <w:vAlign w:val="bottom"/>
            <w:gridSpan w:val="4"/>
          </w:tcPr>
          <w:p>
            <w:pPr>
              <w:jc w:val="center"/>
              <w:ind w:left="1270"/>
              <w:spacing w:after="0"/>
              <w:rPr>
                <w:sz w:val="20"/>
                <w:szCs w:val="20"/>
                <w:color w:val="auto"/>
              </w:rPr>
            </w:pPr>
            <w:r>
              <w:rPr>
                <w:rFonts w:ascii="Times New Roman" w:cs="Times New Roman" w:eastAsia="Times New Roman" w:hAnsi="Times New Roman"/>
                <w:sz w:val="18"/>
                <w:szCs w:val="18"/>
                <w:color w:val="0000FF"/>
                <w:w w:val="88"/>
              </w:rPr>
              <w:t>4</w:t>
            </w:r>
          </w:p>
        </w:tc>
        <w:tc>
          <w:tcPr>
            <w:tcW w:w="2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Statements of Changes in Net Assets Available for Benefits for the Years Ended December 31, 2025 and 2024</w:t>
            </w:r>
          </w:p>
        </w:tc>
        <w:tc>
          <w:tcPr>
            <w:tcW w:w="1280" w:type="dxa"/>
            <w:vAlign w:val="bottom"/>
          </w:tcPr>
          <w:p>
            <w:pPr>
              <w:spacing w:after="0"/>
              <w:rPr>
                <w:sz w:val="18"/>
                <w:szCs w:val="18"/>
                <w:color w:val="auto"/>
              </w:rPr>
            </w:pPr>
          </w:p>
        </w:tc>
        <w:tc>
          <w:tcPr>
            <w:tcW w:w="1560" w:type="dxa"/>
            <w:vAlign w:val="bottom"/>
            <w:gridSpan w:val="4"/>
          </w:tcPr>
          <w:p>
            <w:pPr>
              <w:jc w:val="center"/>
              <w:ind w:left="1270"/>
              <w:spacing w:after="0"/>
              <w:rPr>
                <w:sz w:val="20"/>
                <w:szCs w:val="20"/>
                <w:color w:val="auto"/>
              </w:rPr>
            </w:pPr>
            <w:r>
              <w:rPr>
                <w:rFonts w:ascii="Times New Roman" w:cs="Times New Roman" w:eastAsia="Times New Roman" w:hAnsi="Times New Roman"/>
                <w:sz w:val="18"/>
                <w:szCs w:val="18"/>
                <w:color w:val="0000FF"/>
                <w:w w:val="88"/>
              </w:rPr>
              <w:t>5</w:t>
            </w:r>
          </w:p>
        </w:tc>
        <w:tc>
          <w:tcPr>
            <w:tcW w:w="2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Financial Statements</w:t>
            </w:r>
          </w:p>
        </w:tc>
        <w:tc>
          <w:tcPr>
            <w:tcW w:w="1280" w:type="dxa"/>
            <w:vAlign w:val="bottom"/>
          </w:tcPr>
          <w:p>
            <w:pPr>
              <w:spacing w:after="0"/>
              <w:rPr>
                <w:sz w:val="18"/>
                <w:szCs w:val="18"/>
                <w:color w:val="auto"/>
              </w:rPr>
            </w:pPr>
          </w:p>
        </w:tc>
        <w:tc>
          <w:tcPr>
            <w:tcW w:w="1560" w:type="dxa"/>
            <w:vAlign w:val="bottom"/>
            <w:gridSpan w:val="4"/>
          </w:tcPr>
          <w:p>
            <w:pPr>
              <w:jc w:val="center"/>
              <w:ind w:left="1270"/>
              <w:spacing w:after="0"/>
              <w:rPr>
                <w:sz w:val="20"/>
                <w:szCs w:val="20"/>
                <w:color w:val="auto"/>
              </w:rPr>
            </w:pPr>
            <w:r>
              <w:rPr>
                <w:rFonts w:ascii="Times New Roman" w:cs="Times New Roman" w:eastAsia="Times New Roman" w:hAnsi="Times New Roman"/>
                <w:sz w:val="18"/>
                <w:szCs w:val="18"/>
                <w:color w:val="0000FF"/>
                <w:w w:val="88"/>
              </w:rPr>
              <w:t>6</w:t>
            </w:r>
          </w:p>
        </w:tc>
        <w:tc>
          <w:tcPr>
            <w:tcW w:w="2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7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Supplemental Schedule:</w:t>
            </w:r>
          </w:p>
        </w:tc>
        <w:tc>
          <w:tcPr>
            <w:tcW w:w="7660" w:type="dxa"/>
            <w:vAlign w:val="bottom"/>
            <w:gridSpan w:val="6"/>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Schedule H, Line 4i - Schedule of Assets (Held at End of Year)</w:t>
            </w:r>
          </w:p>
        </w:tc>
        <w:tc>
          <w:tcPr>
            <w:tcW w:w="1800" w:type="dxa"/>
            <w:vAlign w:val="bottom"/>
            <w:gridSpan w:val="5"/>
          </w:tcPr>
          <w:p>
            <w:pPr>
              <w:jc w:val="center"/>
              <w:ind w:left="1050"/>
              <w:spacing w:after="0"/>
              <w:rPr>
                <w:sz w:val="20"/>
                <w:szCs w:val="20"/>
                <w:color w:val="auto"/>
              </w:rPr>
            </w:pPr>
            <w:r>
              <w:rPr>
                <w:rFonts w:ascii="Times New Roman" w:cs="Times New Roman" w:eastAsia="Times New Roman" w:hAnsi="Times New Roman"/>
                <w:sz w:val="18"/>
                <w:szCs w:val="18"/>
                <w:color w:val="0000FF"/>
                <w:w w:val="99"/>
              </w:rPr>
              <w:t>12</w:t>
            </w:r>
          </w:p>
        </w:tc>
      </w:tr>
      <w:tr>
        <w:trPr>
          <w:trHeight w:val="1445"/>
        </w:trPr>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6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860" w:type="dxa"/>
            <w:vAlign w:val="bottom"/>
            <w:tcBorders>
              <w:top w:val="single" w:sz="8" w:color="0000FF"/>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3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Administrator, Plan Participants, and Retirement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 Bancorp, Inc. Employee Retirement Plan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Origin Bancorp, Inc. Employee Retirement Plan (the “Plan”) as of December 31, 2025 and 2024, the related statements of changes in net assets available for benefits for the years then ended, and the related notes (collectively referred to as the “financial statements”). In our opinion, the financial statements referred to above present fairly, in all material respects, the net assets available for benefits of the Plan as of December 31, 2025 and 2024, and the changes in net assets available for benefits for the years then ended in conformity with accounting principles generally accepted in the United States of America.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Opinion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these financial statements based on our audits.</w:t>
      </w:r>
    </w:p>
    <w:p>
      <w:pPr>
        <w:spacing w:after="0" w:line="17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on Supplemental Information</w:t>
      </w:r>
    </w:p>
    <w:p>
      <w:pPr>
        <w:spacing w:after="0" w:line="1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The supplemental information in the accompanying Schedule H, Line 4i – Schedule of Assets (Held at End of Year)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conformity with the Department of Labor’s Rules and Regulations for Reporting and Disclosure under the </w:t>
      </w:r>
      <w:r>
        <w:rPr>
          <w:rFonts w:ascii="Times New Roman" w:cs="Times New Roman" w:eastAsia="Times New Roman" w:hAnsi="Times New Roman"/>
          <w:sz w:val="18"/>
          <w:szCs w:val="18"/>
          <w:i w:val="1"/>
          <w:iCs w:val="1"/>
          <w:color w:val="auto"/>
        </w:rPr>
        <w:t>Employee Retirement Income Security Act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1974</w:t>
      </w:r>
      <w:r>
        <w:rPr>
          <w:rFonts w:ascii="Times New Roman" w:cs="Times New Roman" w:eastAsia="Times New Roman" w:hAnsi="Times New Roman"/>
          <w:sz w:val="18"/>
          <w:szCs w:val="18"/>
          <w:color w:val="auto"/>
        </w:rPr>
        <w:t>. In our opinion, the supplemental schedule is fairly stated, in all material respects, in relation to the basic financial statements taken as a whole.</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 Forvis Mazars, LLP</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2016.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Rogers, Arkansas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25, 2026</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 RETIREMENT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9"/>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at fair value:</w:t>
            </w: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Mutual funds</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87,256,435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74,730,877</w:t>
            </w:r>
          </w:p>
        </w:tc>
      </w:tr>
      <w:tr>
        <w:trPr>
          <w:trHeight w:val="213"/>
        </w:trPr>
        <w:tc>
          <w:tcPr>
            <w:tcW w:w="7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Origin Bancorp, Inc. (“Company”) stock</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37,971,052</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35,985,333</w:t>
            </w:r>
          </w:p>
        </w:tc>
      </w:tr>
      <w:tr>
        <w:trPr>
          <w:trHeight w:val="212"/>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investments</w:t>
            </w: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125,227,487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110,716,210</w:t>
            </w:r>
          </w:p>
        </w:tc>
      </w:tr>
      <w:tr>
        <w:trPr>
          <w:trHeight w:val="257"/>
        </w:trPr>
        <w:tc>
          <w:tcPr>
            <w:tcW w:w="7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w:t>
            </w: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Company contributions</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Participant contributions</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Notes receivable from participants</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1,852,266</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2,031,414</w:t>
            </w:r>
          </w:p>
        </w:tc>
      </w:tr>
      <w:tr>
        <w:trPr>
          <w:trHeight w:val="210"/>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receivables</w:t>
            </w: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1,853,841</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2,031,414</w:t>
            </w:r>
          </w:p>
        </w:tc>
      </w:tr>
      <w:tr>
        <w:trPr>
          <w:trHeight w:val="212"/>
        </w:trPr>
        <w:tc>
          <w:tcPr>
            <w:tcW w:w="73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127,081,328</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112,747,624</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3"/>
        </w:trPr>
        <w:tc>
          <w:tcPr>
            <w:tcW w:w="7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6"/>
        </w:trPr>
        <w:tc>
          <w:tcPr>
            <w:tcW w:w="7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Net assets available for benefits</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127,081,328</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112,747,624</w:t>
            </w:r>
          </w:p>
        </w:tc>
      </w:tr>
      <w:tr>
        <w:trPr>
          <w:trHeight w:val="21"/>
        </w:trPr>
        <w:tc>
          <w:tcPr>
            <w:tcW w:w="7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financial statements.</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0"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 RETIREMENT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Net Assets Available for Benefits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and 2024</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Additions to net assets:</w:t>
            </w:r>
          </w:p>
        </w:tc>
        <w:tc>
          <w:tcPr>
            <w:tcW w:w="200" w:type="dxa"/>
            <w:vAlign w:val="bottom"/>
          </w:tcPr>
          <w:p>
            <w:pPr>
              <w:spacing w:after="0"/>
              <w:rPr>
                <w:sz w:val="16"/>
                <w:szCs w:val="16"/>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00" w:type="dxa"/>
            <w:vAlign w:val="bottom"/>
          </w:tcPr>
          <w:p>
            <w:pPr>
              <w:spacing w:after="0"/>
              <w:rPr>
                <w:sz w:val="16"/>
                <w:szCs w:val="16"/>
                <w:color w:val="auto"/>
              </w:rPr>
            </w:pPr>
          </w:p>
        </w:tc>
        <w:tc>
          <w:tcPr>
            <w:tcW w:w="16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12"/>
        </w:trPr>
        <w:tc>
          <w:tcPr>
            <w:tcW w:w="73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97"/>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income:</w:t>
            </w:r>
          </w:p>
        </w:tc>
        <w:tc>
          <w:tcPr>
            <w:tcW w:w="20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appreciation in fair value of investments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13,390,041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4,669,857</w:t>
            </w:r>
          </w:p>
        </w:tc>
        <w:tc>
          <w:tcPr>
            <w:tcW w:w="0" w:type="dxa"/>
            <w:vAlign w:val="bottom"/>
          </w:tcPr>
          <w:p>
            <w:pPr>
              <w:spacing w:after="0"/>
              <w:rPr>
                <w:sz w:val="1"/>
                <w:szCs w:val="1"/>
                <w:color w:val="auto"/>
              </w:rPr>
            </w:pPr>
          </w:p>
        </w:tc>
      </w:tr>
      <w:tr>
        <w:trPr>
          <w:trHeight w:val="21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and dividends from mutual funds</w:t>
            </w: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1,715,122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1,508,310</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from Company stock</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630,618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651,133</w:t>
            </w:r>
          </w:p>
        </w:tc>
        <w:tc>
          <w:tcPr>
            <w:tcW w:w="0" w:type="dxa"/>
            <w:vAlign w:val="bottom"/>
          </w:tcPr>
          <w:p>
            <w:pPr>
              <w:spacing w:after="0"/>
              <w:rPr>
                <w:sz w:val="1"/>
                <w:szCs w:val="1"/>
                <w:color w:val="auto"/>
              </w:rPr>
            </w:pPr>
          </w:p>
        </w:tc>
      </w:tr>
      <w:tr>
        <w:trPr>
          <w:trHeight w:val="207"/>
        </w:trPr>
        <w:tc>
          <w:tcPr>
            <w:tcW w:w="7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investment income</w:t>
            </w: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15,735,781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6,829,300</w:t>
            </w: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on notes receivable from participants</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150,928</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Contributions:</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Company</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2,527,917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2,584,171</w:t>
            </w:r>
          </w:p>
        </w:tc>
        <w:tc>
          <w:tcPr>
            <w:tcW w:w="0" w:type="dxa"/>
            <w:vAlign w:val="bottom"/>
          </w:tcPr>
          <w:p>
            <w:pPr>
              <w:spacing w:after="0"/>
              <w:rPr>
                <w:sz w:val="1"/>
                <w:szCs w:val="1"/>
                <w:color w:val="auto"/>
              </w:rPr>
            </w:pPr>
          </w:p>
        </w:tc>
      </w:tr>
      <w:tr>
        <w:trPr>
          <w:trHeight w:val="21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Participant</w:t>
            </w: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7,699,678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7,697,788</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Rollover</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1,053,196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1,940,649</w:t>
            </w:r>
          </w:p>
        </w:tc>
        <w:tc>
          <w:tcPr>
            <w:tcW w:w="0" w:type="dxa"/>
            <w:vAlign w:val="bottom"/>
          </w:tcPr>
          <w:p>
            <w:pPr>
              <w:spacing w:after="0"/>
              <w:rPr>
                <w:sz w:val="1"/>
                <w:szCs w:val="1"/>
                <w:color w:val="auto"/>
              </w:rPr>
            </w:pPr>
          </w:p>
        </w:tc>
      </w:tr>
      <w:tr>
        <w:trPr>
          <w:trHeight w:val="207"/>
        </w:trPr>
        <w:tc>
          <w:tcPr>
            <w:tcW w:w="7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contributions</w:t>
            </w: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11,280,791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12,222,608</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investment income, interest income and contributions</w:t>
            </w: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27,178,423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19,202,836</w:t>
            </w:r>
          </w:p>
        </w:tc>
        <w:tc>
          <w:tcPr>
            <w:tcW w:w="0" w:type="dxa"/>
            <w:vAlign w:val="bottom"/>
          </w:tcPr>
          <w:p>
            <w:pPr>
              <w:spacing w:after="0"/>
              <w:rPr>
                <w:sz w:val="1"/>
                <w:szCs w:val="1"/>
                <w:color w:val="auto"/>
              </w:rPr>
            </w:pPr>
          </w:p>
        </w:tc>
      </w:tr>
      <w:tr>
        <w:trPr>
          <w:trHeight w:val="239"/>
        </w:trPr>
        <w:tc>
          <w:tcPr>
            <w:tcW w:w="7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Deductions from net assets:</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Benefits paid to participants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12,690,168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6,939,473</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Administrative expenses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154,551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136,186</w:t>
            </w:r>
          </w:p>
        </w:tc>
        <w:tc>
          <w:tcPr>
            <w:tcW w:w="0" w:type="dxa"/>
            <w:vAlign w:val="bottom"/>
          </w:tcPr>
          <w:p>
            <w:pPr>
              <w:spacing w:after="0"/>
              <w:rPr>
                <w:sz w:val="1"/>
                <w:szCs w:val="1"/>
                <w:color w:val="auto"/>
              </w:rPr>
            </w:pPr>
          </w:p>
        </w:tc>
      </w:tr>
      <w:tr>
        <w:trPr>
          <w:trHeight w:val="207"/>
        </w:trPr>
        <w:tc>
          <w:tcPr>
            <w:tcW w:w="7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deductions</w:t>
            </w: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12,844,719</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7,075,659</w:t>
            </w: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increase in net assets available for benefits</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14,333,704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12,127,177</w:t>
            </w:r>
          </w:p>
        </w:tc>
        <w:tc>
          <w:tcPr>
            <w:tcW w:w="0" w:type="dxa"/>
            <w:vAlign w:val="bottom"/>
          </w:tcPr>
          <w:p>
            <w:pPr>
              <w:spacing w:after="0"/>
              <w:rPr>
                <w:sz w:val="1"/>
                <w:szCs w:val="1"/>
                <w:color w:val="auto"/>
              </w:rPr>
            </w:pPr>
          </w:p>
        </w:tc>
      </w:tr>
      <w:tr>
        <w:trPr>
          <w:trHeight w:val="214"/>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 available for benefits:</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Beginning of year</w:t>
            </w: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112,747,624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100,620,447</w:t>
            </w:r>
          </w:p>
        </w:tc>
        <w:tc>
          <w:tcPr>
            <w:tcW w:w="0" w:type="dxa"/>
            <w:vAlign w:val="bottom"/>
          </w:tcPr>
          <w:p>
            <w:pPr>
              <w:spacing w:after="0"/>
              <w:rPr>
                <w:sz w:val="1"/>
                <w:szCs w:val="1"/>
                <w:color w:val="auto"/>
              </w:rPr>
            </w:pPr>
          </w:p>
        </w:tc>
      </w:tr>
      <w:tr>
        <w:trPr>
          <w:trHeight w:val="183"/>
        </w:trPr>
        <w:tc>
          <w:tcPr>
            <w:tcW w:w="7320" w:type="dxa"/>
            <w:vAlign w:val="bottom"/>
          </w:tcPr>
          <w:p>
            <w:pPr>
              <w:ind w:left="140"/>
              <w:spacing w:after="0" w:line="183" w:lineRule="exact"/>
              <w:rPr>
                <w:sz w:val="20"/>
                <w:szCs w:val="20"/>
                <w:color w:val="auto"/>
              </w:rPr>
            </w:pPr>
            <w:r>
              <w:rPr>
                <w:rFonts w:ascii="Times New Roman" w:cs="Times New Roman" w:eastAsia="Times New Roman" w:hAnsi="Times New Roman"/>
                <w:sz w:val="16"/>
                <w:szCs w:val="16"/>
                <w:color w:val="auto"/>
              </w:rPr>
              <w:t>End of year</w:t>
            </w:r>
          </w:p>
        </w:tc>
        <w:tc>
          <w:tcPr>
            <w:tcW w:w="200" w:type="dxa"/>
            <w:vAlign w:val="bottom"/>
            <w:tcBorders>
              <w:bottom w:val="single" w:sz="8" w:color="auto"/>
            </w:tcBorders>
          </w:tcPr>
          <w:p>
            <w:pPr>
              <w:jc w:val="right"/>
              <w:ind w:right="1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127,081,328</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1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112,747,624</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this financial statement.</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0"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EMPLOYEE RETIREMENT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Plan Description and Basis of Presentation</w:t>
      </w:r>
    </w:p>
    <w:p>
      <w:pPr>
        <w:spacing w:after="0" w:line="175"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summary description of the Origin Bancorp, Inc. Employee Retirement Plan (the “Plan”) is provided for general information purposes only. Participants should refer to the Plan document for complete information about the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7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Origin Bancorp, Inc. (the “Company” or the “Plan Sponsor”) established the Plan effective as of January 1, 1992, which has been subsequently amended to ensure continued compliance with Section 401(k) of the Internal Revenue Code (“IRC”) of 1986, as amended. The Plan is a defined contribution plan. The Plan is subject to the applicable provisions of the Employee Retirement Income Security Act of 1974, as amended (“ERISA”) and is administered by the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p>
      <w:pPr>
        <w:spacing w:after="0" w:line="17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Employees of the Company and its wholly owned subsidiaries are generally eligible to participate in the Plan as of the first day of the following month after being employed for 25 days and meeting certain other requirements and employment classification criteria.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Termination</w:t>
      </w:r>
    </w:p>
    <w:p>
      <w:pPr>
        <w:spacing w:after="0" w:line="175"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 reserves the right to terminate the Plan at any time, subject to Plan provisions. Upon such termination of the Plan, each participant becomes fully vested in Company contributions and the interest of each participant in the trust fund will be distributed to such participant or to his or her beneficiary at the time prescribed by the Plan's terms and the IRC.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 from Participants</w:t>
      </w:r>
    </w:p>
    <w:p>
      <w:pPr>
        <w:spacing w:after="0" w:line="17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Participants may borrow from their fund accounts in a minimum amount of $1,000 up to a maximum amount equal to the lesser of $50,000 or 50% of their vested account balance. The loans are secured by the balance in the participant’s account. The Plan does not place loans on non-accrual status, as the loan repayments are set up as automatic deductions through payroll that continue until either the loan is repaid, or the participant’s employment terminates. Loan payments may be suspended during a participant's leave of absence and automatic deductions resume upon conclusion of a leave of absence.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Excess Contributions Payable</w:t>
      </w:r>
    </w:p>
    <w:p>
      <w:pPr>
        <w:spacing w:after="0" w:line="17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Amounts payable to participants for contributions in excess of amounts allowed by the Internal Revenue Service (“IRS”) are recorded as a liability with a corresponding reduction to contributions. There were no excess contributions payable at December 31, 2025 or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Contributions</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Each year, participants may elect to contribute a percentage of their annual compensation as their 401(k) elective deferral contribution, and they may designate all or a portion of their 401(k) elective contribution as pre-tax or Roth after-tax contribution, as defined in the Plan, subject to certain maximum limitations imposed by the IRC ($23,500 and $23,000 for the years ended December 31, 2025 and 2024, respectively). Participants who have attained the age of 50 before the end of the plan year are eligible to make catch-up contributions, also subject to certain maximum limitations imposed by the IRC and IRS. Participants may also contribute amounts representing distributions from other qualified defined benefit or defined contribution plans (such contribution, a “rollover”). Participants direct the investment of their contributions into various investment options offered by the Plan. Under the provisions of the Plan, eligible employees are automatically enrolled to contribute 3% of their salary unless a different deferral percentage is chosen, or the employee affirmatively opts not to defer. In addition, each March 1, if a participant is not deferring at least 3% of the participant’s pay, the participant will be automatically enrolled again unless the participant affirmatively elects a different deferral percentage each year or affirmatively opts out each year. If the employee was automatically enrolled and has not affirmatively made a different election, the percentage will automatically increase by 1% annually, up to a maximum of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 RETIREMENT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500" w:firstLine="648"/>
        <w:spacing w:after="0" w:line="261" w:lineRule="auto"/>
        <w:rPr>
          <w:sz w:val="20"/>
          <w:szCs w:val="20"/>
          <w:color w:val="auto"/>
        </w:rPr>
      </w:pPr>
      <w:r>
        <w:rPr>
          <w:rFonts w:ascii="Times New Roman" w:cs="Times New Roman" w:eastAsia="Times New Roman" w:hAnsi="Times New Roman"/>
          <w:sz w:val="18"/>
          <w:szCs w:val="18"/>
          <w:color w:val="auto"/>
        </w:rPr>
        <w:t>Under the provisions of the Plan, the Company may make discretionary matching contributions on a percentage, not to exceed 6% of a participant’s elective deferrals. Any percentage determined by the Company applies to all eligible persons for the entire plan year. Historically, the Company has matched 50% of the first 6% of eligible compensation deferred by a participant. The matching contributions made by the Company are allocated to the investment funds designated by the participant.</w:t>
      </w:r>
    </w:p>
    <w:p>
      <w:pPr>
        <w:spacing w:after="0" w:line="12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Additional profit-sharing amounts may be contributed at the option of the Company’s board of directors and are also allocated to investment funds designated by the eligible participant, based upon the percentage of the participant’s compensation to the total compensation of all eligible participants. No profit-sharing contributions were made during the years ended December 31, 2025 or 2024. It is intended that the actual contributions will be sufficient to fund each year’s benefit accrual and also lead to full funding of all accumulated benefits.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of Benefits</w:t>
      </w:r>
    </w:p>
    <w:p>
      <w:pPr>
        <w:spacing w:after="0" w:line="17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No distributions from the Plan are made until a participant retires, dies, becomes disabled or otherwise terminates employment with the Company, unless the requirements for an in-service distribution, including a hardship distribution, are met in accordance with the Plan documents. The amount to be distributed is based upon the account valuation date immediately preceding the distribution. Distributions are made in cash or, if the participant elects, in the form of Company common stock plus cash for any fractional shares. As of December 31, 2025, there were two distributions in process totaling $48,118. As of December 31, 2024, there were two distributions in process totaling $87.</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175" w:lineRule="exact"/>
        <w:rPr>
          <w:sz w:val="20"/>
          <w:szCs w:val="20"/>
          <w:color w:val="auto"/>
        </w:rPr>
      </w:pPr>
    </w:p>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Certain expenses incurred in maintaining the Plan are paid by the Plan, unless otherwise paid by the Company. Expenses that are paid by the Company are excluded from these financial statements. Fees related to the administration of notes receivable from participants are charged directly to the participant’s account and are included in administrative expenses. Investment related expenses are included in net appreciation in fair value of investments.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7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Based on the direction of the Plan participants, the Trustee of the Plan votes all Company stock held by it as a part of the Plan assets in accordance with directions from the Plan participants for the Company stock allocated to such participant’s account. If the Trustee does not receive timely voting directions from a participant or beneficiary with respect to any Company stock allocated to that participant’s or beneficiary’s Company stock account, the Trustee votes such Company stock in the same proportion as those shares of Company stock for which the Trustee has received proper direction for such matter.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 Accounts</w:t>
      </w:r>
    </w:p>
    <w:p>
      <w:pPr>
        <w:spacing w:after="0" w:line="175" w:lineRule="exact"/>
        <w:rPr>
          <w:sz w:val="20"/>
          <w:szCs w:val="20"/>
          <w:color w:val="auto"/>
        </w:rPr>
      </w:pPr>
    </w:p>
    <w:p>
      <w:pPr>
        <w:jc w:val="both"/>
        <w:ind w:right="100" w:firstLine="648"/>
        <w:spacing w:after="0" w:line="289" w:lineRule="auto"/>
        <w:rPr>
          <w:sz w:val="20"/>
          <w:szCs w:val="20"/>
          <w:color w:val="auto"/>
        </w:rPr>
      </w:pPr>
      <w:r>
        <w:rPr>
          <w:rFonts w:ascii="Times New Roman" w:cs="Times New Roman" w:eastAsia="Times New Roman" w:hAnsi="Times New Roman"/>
          <w:sz w:val="17"/>
          <w:szCs w:val="17"/>
          <w:color w:val="auto"/>
        </w:rPr>
        <w:t>The Plan is a defined contribution plan under which a separate individual account is established for each participant. Each participant’s account is credited with the participant’s elective deferrals, the participant's rollover contributions, the Company’s matching contribution, any employer discretionary profit-sharing contributions and Plan earnings, which are allocated proportionately among all participants based on their allocation election in each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EMPLOYEE RETIREMENT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Vesting</w:t>
      </w:r>
    </w:p>
    <w:p>
      <w:pPr>
        <w:spacing w:after="0" w:line="17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Participants are fully vested in their employee contributions plus actual earnings thereon. Company contributions are vested upon a participant’s reaching normal retirement age, upon an active participant’s death or under the following schedule: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Years of Service</w:t>
            </w:r>
          </w:p>
        </w:tc>
        <w:tc>
          <w:tcPr>
            <w:tcW w:w="5560" w:type="dxa"/>
            <w:vAlign w:val="bottom"/>
          </w:tcPr>
          <w:p>
            <w:pPr>
              <w:ind w:left="1980"/>
              <w:spacing w:after="0"/>
              <w:rPr>
                <w:sz w:val="20"/>
                <w:szCs w:val="20"/>
                <w:color w:val="auto"/>
              </w:rPr>
            </w:pPr>
            <w:r>
              <w:rPr>
                <w:rFonts w:ascii="Times New Roman" w:cs="Times New Roman" w:eastAsia="Times New Roman" w:hAnsi="Times New Roman"/>
                <w:sz w:val="16"/>
                <w:szCs w:val="16"/>
                <w:b w:val="1"/>
                <w:bCs w:val="1"/>
                <w:color w:val="auto"/>
              </w:rPr>
              <w:t>Vested Percentage (%)</w:t>
            </w:r>
          </w:p>
        </w:tc>
      </w:tr>
      <w:tr>
        <w:trPr>
          <w:trHeight w:val="212"/>
        </w:trPr>
        <w:tc>
          <w:tcPr>
            <w:tcW w:w="5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Less than 1</w:t>
            </w:r>
          </w:p>
        </w:tc>
        <w:tc>
          <w:tcPr>
            <w:tcW w:w="120" w:type="dxa"/>
            <w:vAlign w:val="bottom"/>
            <w:tcBorders>
              <w:top w:val="single" w:sz="8" w:color="CCEEFF"/>
            </w:tcBorders>
            <w:shd w:val="clear" w:color="auto" w:fill="CCEEFF"/>
          </w:tcPr>
          <w:p>
            <w:pPr>
              <w:spacing w:after="0"/>
              <w:rPr>
                <w:sz w:val="18"/>
                <w:szCs w:val="18"/>
                <w:color w:val="auto"/>
              </w:rPr>
            </w:pPr>
          </w:p>
        </w:tc>
        <w:tc>
          <w:tcPr>
            <w:tcW w:w="5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r>
      <w:tr>
        <w:trPr>
          <w:trHeight w:val="213"/>
        </w:trPr>
        <w:tc>
          <w:tcPr>
            <w:tcW w:w="5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Pr>
          <w:p>
            <w:pPr>
              <w:spacing w:after="0"/>
              <w:rPr>
                <w:sz w:val="18"/>
                <w:szCs w:val="18"/>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w:t>
            </w:r>
          </w:p>
        </w:tc>
      </w:tr>
      <w:tr>
        <w:trPr>
          <w:trHeight w:val="219"/>
        </w:trPr>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20" w:type="dxa"/>
            <w:vAlign w:val="bottom"/>
            <w:shd w:val="clear" w:color="auto" w:fill="CCEEFF"/>
          </w:tcPr>
          <w:p>
            <w:pPr>
              <w:spacing w:after="0"/>
              <w:rPr>
                <w:sz w:val="19"/>
                <w:szCs w:val="19"/>
                <w:color w:val="auto"/>
              </w:rPr>
            </w:pPr>
          </w:p>
        </w:tc>
        <w:tc>
          <w:tcPr>
            <w:tcW w:w="5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213"/>
        </w:trPr>
        <w:tc>
          <w:tcPr>
            <w:tcW w:w="5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20" w:type="dxa"/>
            <w:vAlign w:val="bottom"/>
          </w:tcPr>
          <w:p>
            <w:pPr>
              <w:spacing w:after="0"/>
              <w:rPr>
                <w:sz w:val="18"/>
                <w:szCs w:val="18"/>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r>
      <w:tr>
        <w:trPr>
          <w:trHeight w:val="219"/>
        </w:trPr>
        <w:tc>
          <w:tcPr>
            <w:tcW w:w="5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20" w:type="dxa"/>
            <w:vAlign w:val="bottom"/>
            <w:shd w:val="clear" w:color="auto" w:fill="CCEEFF"/>
          </w:tcPr>
          <w:p>
            <w:pPr>
              <w:spacing w:after="0"/>
              <w:rPr>
                <w:sz w:val="19"/>
                <w:szCs w:val="19"/>
                <w:color w:val="auto"/>
              </w:rPr>
            </w:pPr>
          </w:p>
        </w:tc>
        <w:tc>
          <w:tcPr>
            <w:tcW w:w="5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80</w:t>
            </w:r>
          </w:p>
        </w:tc>
      </w:tr>
      <w:tr>
        <w:trPr>
          <w:trHeight w:val="210"/>
        </w:trPr>
        <w:tc>
          <w:tcPr>
            <w:tcW w:w="5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5 or more</w:t>
            </w:r>
          </w:p>
        </w:tc>
        <w:tc>
          <w:tcPr>
            <w:tcW w:w="5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100</w:t>
            </w:r>
          </w:p>
        </w:tc>
      </w:tr>
    </w:tbl>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Diversification</w:t>
      </w:r>
    </w:p>
    <w:p>
      <w:pPr>
        <w:spacing w:after="0" w:line="175"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Participants may allocate contributions, including employer matching contributions, into any combination of investment options available through the Plan. Participants may re-allocate at any time with the exception of Company common stock during blackout periods.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Forfeitures</w:t>
      </w:r>
    </w:p>
    <w:p>
      <w:pPr>
        <w:spacing w:after="0" w:line="17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the case of a participant’s termination of employment, the unvested portion of participants’ account is forfeited and used either to reduce the Company’s contributions or to pay Plan expenses. During the year ended December 31, 2025, forfeitures of $106 were applied to the payment of administrative expenses and $169,778 forfeitures were used to reduce the Company’s contributions. During the year ended December 31, 2024, forfeitures of $68 were applied to the payment of administrative expenses and $142,656 forfeitures were used to reduce the Company’s contributions. As of December 31, 2025 and 2024, forfeited non-vested accounts totaled $189,310 and $162,225,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Accounting</w:t>
      </w:r>
    </w:p>
    <w:p>
      <w:pPr>
        <w:spacing w:after="0" w:line="175"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financial statements of the Plan have been prepared on an accrual basis of accounting in accordance with generally accepted accounting principles in the United States of America (“U.S. GAAP”).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assumptions that affect the reported amounts of assets, liabilities and changes therein, and disclosure of contingent assets and liabilities. Actual results could differ from those estimates.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7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Plan investments, including the Company’s common stock, are exposed to various risks such as interest rate, market and credit risks. Due to the level of risk associated with these investments, including in connection with recent market volatility due to economic uncertainty in the United States, among others, it is at least reasonably possible that changes in the value of the Plan investments will occur and that such changes could materially affect the amounts reported in the Statements of Net Assets Available for Benefits.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Valuation and Income Recognition</w:t>
      </w:r>
    </w:p>
    <w:p>
      <w:pPr>
        <w:spacing w:after="0" w:line="171" w:lineRule="exact"/>
        <w:rPr>
          <w:sz w:val="20"/>
          <w:szCs w:val="20"/>
          <w:color w:val="auto"/>
        </w:rPr>
      </w:pPr>
    </w:p>
    <w:p>
      <w:pPr>
        <w:ind w:right="700" w:firstLine="648"/>
        <w:spacing w:after="0" w:line="286" w:lineRule="auto"/>
        <w:rPr>
          <w:sz w:val="20"/>
          <w:szCs w:val="20"/>
          <w:color w:val="auto"/>
        </w:rPr>
      </w:pPr>
      <w:r>
        <w:rPr>
          <w:rFonts w:ascii="Times New Roman" w:cs="Times New Roman" w:eastAsia="Times New Roman" w:hAnsi="Times New Roman"/>
          <w:sz w:val="18"/>
          <w:szCs w:val="18"/>
          <w:color w:val="auto"/>
        </w:rPr>
        <w:t xml:space="preserve">The shares of Company common stock and investments in mutual funds are valued at fair value as of year-end. See </w:t>
      </w:r>
      <w:r>
        <w:rPr>
          <w:rFonts w:ascii="Times New Roman" w:cs="Times New Roman" w:eastAsia="Times New Roman" w:hAnsi="Times New Roman"/>
          <w:sz w:val="18"/>
          <w:szCs w:val="18"/>
          <w:i w:val="1"/>
          <w:iCs w:val="1"/>
          <w:color w:val="auto"/>
        </w:rPr>
        <w:t>Note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Measurements </w:t>
      </w:r>
      <w:r>
        <w:rPr>
          <w:rFonts w:ascii="Times New Roman" w:cs="Times New Roman" w:eastAsia="Times New Roman" w:hAnsi="Times New Roman"/>
          <w:sz w:val="18"/>
          <w:szCs w:val="18"/>
          <w:color w:val="auto"/>
        </w:rPr>
        <w:t>for discussion of fair value measurements.</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Dividend income is accrued on the ex-dividend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 RETIREMENT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Purchases and sales of securities are recorded on a trade date basis. Interest income is recorded on an accrual basis. Realized gains and losses from security transactions are reported using the average cost method. Net appreciation includes the Plan’s gains and losses on investments bought and sold as well as held during the year.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 Contribution Receivables</w:t>
      </w:r>
    </w:p>
    <w:p>
      <w:pPr>
        <w:spacing w:after="0" w:line="17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participant contribution receivables represent amounts deferred by participants from their compensation and withheld by the Company, but not yet remitted to the Plan as of the statement of net assets available for benefits date.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 from Participants</w:t>
      </w:r>
    </w:p>
    <w:p>
      <w:pPr>
        <w:spacing w:after="0" w:line="175" w:lineRule="exact"/>
        <w:rPr>
          <w:sz w:val="20"/>
          <w:szCs w:val="20"/>
          <w:color w:val="auto"/>
        </w:rPr>
      </w:pPr>
    </w:p>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Notes receivable from participants are measured at their unpaid principal balance plus any accrued but unpaid interest. Interest income is recorded on an accrual basis. Related fees are recorded as administrative expenses and are expensed as incurred. No allowance for credit losses was recorded as of December 31, 2025 or 2024. Delinquent participant loans are reclassified as distributions in accordance with the provisions set forth in the Plan document.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of Benefits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Benefits are recorded when paid.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Management has evaluated the Plan’s tax positions and concluded that the Plan has maintained its tax-exempt status and has taken no uncertain tax positions that require adjustment to the financial statements. Therefore, no provision or liability for income taxes has been included in the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Presently, Plan management is not aware of any recent accounting pronouncements from the Financial Accounting Standards Board that will have a material impact on the Plan’s present or future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Plan’s Tax Status</w:t>
      </w:r>
    </w:p>
    <w:p>
      <w:pPr>
        <w:spacing w:after="0" w:line="17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Plan operates under a non-standardized pre-approved profit sharing plan with a cash or deferred arrangement (CODA) method of funding established by Principal Life Insurance Company, a member of Principal Financial Group. The pre-approved plan sponsor obtained a favorable opinion letter dated June 30, 2020. According to the pre-approved plan, the Plan’s assets are intended to be qualified pursuant to Section 401(a) of the IRC, and the Plan’s income is exempt from income taxes. Various changes related to the operation of the Plan have been made to the Plan document. Because the Plan is a pre-approved plan, the Plan has not requested an individual IRS determination letter and does not expect to in the future unless the IRS permits ongoing plans to request individual determination letters or if their approach to pre-approved plans changes materially. The plan is entitled to rely on the IRS opinion letter on the form of the pre-approved plan document. The Company believes the Plan qualifies and operates as designed. Therefore, no provision for income taxes has been included in the Plan’s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Related Party and Party-in-Interest Transactions</w:t>
      </w:r>
    </w:p>
    <w:p>
      <w:pPr>
        <w:spacing w:after="0" w:line="17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Plan held 1,009,600 and 1,080,965 shares of the Company’s common stock at December 31, 2025 and 2024, respectively, and recognized $630,618 and $651,133 of dividend income from this related-party investment during 2025 and 2024, respectively. Participant loans held by the Plan also qualify as party-in-interest transactions. All of these transactions are exempt from the prohibited transaction rules under ERISA.</w:t>
      </w:r>
    </w:p>
    <w:p>
      <w:pPr>
        <w:spacing w:after="0" w:line="12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Certain administrative functions are performed by officers or employees of the Company. No such officer or employee receives compensation from the Plan. Certain administrative expenses of the Plan are netted directly from the participant accounts.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EMPLOYEE RETIREMENT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Fair Value Measurements</w:t>
      </w:r>
    </w:p>
    <w:p>
      <w:pPr>
        <w:spacing w:after="0" w:line="17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and the lowest priority to unobservable inputs (level 3). The three levels of the fair value hierarchy are described as follows:</w:t>
      </w:r>
    </w:p>
    <w:p>
      <w:pPr>
        <w:spacing w:after="0" w:line="122" w:lineRule="exact"/>
        <w:rPr>
          <w:sz w:val="20"/>
          <w:szCs w:val="20"/>
          <w:color w:val="auto"/>
        </w:rPr>
      </w:pPr>
    </w:p>
    <w:p>
      <w:pPr>
        <w:ind w:left="660" w:right="74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Fair value is based on unadjusted quoted prices in active markets for identical assets or liabilities that the Plan can access at the measurement date.</w:t>
      </w:r>
    </w:p>
    <w:p>
      <w:pPr>
        <w:spacing w:after="0" w:line="10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Fair value is based on significant other observable inputs, which are generally determined based on a single price for each financial instrument provided to the Company by an unrelated third-party pricing service and is based on one or more of the following:</w:t>
      </w:r>
    </w:p>
    <w:p>
      <w:pPr>
        <w:spacing w:after="0" w:line="107"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but not identical, assets or liabilities in active markets;</w:t>
      </w:r>
    </w:p>
    <w:p>
      <w:pPr>
        <w:spacing w:after="0" w:line="17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markets that are not active;</w:t>
      </w:r>
    </w:p>
    <w:p>
      <w:pPr>
        <w:spacing w:after="0" w:line="171" w:lineRule="exact"/>
        <w:rPr>
          <w:rFonts w:ascii="Times New Roman" w:cs="Times New Roman" w:eastAsia="Times New Roman" w:hAnsi="Times New Roman"/>
          <w:sz w:val="18"/>
          <w:szCs w:val="18"/>
          <w:color w:val="auto"/>
        </w:rPr>
      </w:pPr>
    </w:p>
    <w:p>
      <w:pPr>
        <w:ind w:left="1960" w:right="240" w:hanging="332"/>
        <w:spacing w:after="0" w:line="282" w:lineRule="auto"/>
        <w:tabs>
          <w:tab w:leader="none" w:pos="195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such as interest rate and yield curves, volatilities, prepayment speeds, loss severities, credit risks and default rates; and</w:t>
      </w:r>
    </w:p>
    <w:p>
      <w:pPr>
        <w:spacing w:after="0" w:line="107"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inputs derived from or corroborated by observable market inputs.</w:t>
      </w:r>
    </w:p>
    <w:p>
      <w:pPr>
        <w:spacing w:after="0" w:line="17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Prices or valuation techniques that require inputs that are both significant and unobservable in the market. These instruments are valued using the best information available, some of which is internally developed, and reflects the Company’s own assumptions about the risk premiums that market participants would generally require and the assumptions they would use.</w:t>
      </w:r>
    </w:p>
    <w:p>
      <w:pPr>
        <w:spacing w:after="0" w:line="12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asset or liability’s fair value measurement level within the fair value hierarchy is based on the lowest level of any input that is significant to the fair value measurement. Valuation techniques maximize the use of relevant observable inputs and minimize the use of unobservable inputs.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is a description of the valuation methodologies used for assets measured at fair value.</w:t>
      </w:r>
    </w:p>
    <w:p>
      <w:pPr>
        <w:spacing w:after="0" w:line="16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Mutual funds</w:t>
      </w:r>
      <w:r>
        <w:rPr>
          <w:rFonts w:ascii="Times New Roman" w:cs="Times New Roman" w:eastAsia="Times New Roman" w:hAnsi="Times New Roman"/>
          <w:sz w:val="18"/>
          <w:szCs w:val="18"/>
          <w:color w:val="auto"/>
        </w:rPr>
        <w:t>: Valued at the daily closing price as reported by the fund. Mutual funds held by the Plan are open-end mutual funds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with the Securities and Exchange Commission. These funds are required to publish their daily net asset value (“NAV”) and to transact at that price. Included in mutual funds are money market mutual funds that intend to keep a constant NAV of $1.00 per share. There are no redemption restrictions on money market mutual funds. The mutual funds held by the Plan are deemed to be actively traded.</w:t>
      </w:r>
    </w:p>
    <w:p>
      <w:pPr>
        <w:spacing w:after="0" w:line="126" w:lineRule="exact"/>
        <w:rPr>
          <w:sz w:val="20"/>
          <w:szCs w:val="20"/>
          <w:color w:val="auto"/>
        </w:rPr>
      </w:pPr>
    </w:p>
    <w:p>
      <w:pPr>
        <w:ind w:right="3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Company stock: </w:t>
      </w:r>
      <w:r>
        <w:rPr>
          <w:rFonts w:ascii="Times New Roman" w:cs="Times New Roman" w:eastAsia="Times New Roman" w:hAnsi="Times New Roman"/>
          <w:sz w:val="18"/>
          <w:szCs w:val="18"/>
          <w:color w:val="auto"/>
        </w:rPr>
        <w:t>At December 31, 2025 and 2024, the Company’s common stock was valued at the closing price reported on New York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the market on which it was actively traded.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 RETIREMENT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the Plan’s assets at fair value as of December 31, 2025 and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1"/>
        </w:trPr>
        <w:tc>
          <w:tcPr>
            <w:tcW w:w="4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00" w:type="dxa"/>
            <w:vAlign w:val="bottom"/>
          </w:tcPr>
          <w:p>
            <w:pPr>
              <w:spacing w:after="0"/>
              <w:rPr>
                <w:sz w:val="18"/>
                <w:szCs w:val="18"/>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Mutual funds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87,256,435</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87,256,435</w:t>
            </w:r>
          </w:p>
        </w:tc>
      </w:tr>
      <w:tr>
        <w:trPr>
          <w:trHeight w:val="213"/>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Company stock</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37,971,052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37,971,052</w:t>
            </w:r>
          </w:p>
        </w:tc>
      </w:tr>
      <w:tr>
        <w:trPr>
          <w:trHeight w:val="237"/>
        </w:trPr>
        <w:tc>
          <w:tcPr>
            <w:tcW w:w="48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assets at fair value</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125,227,487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125,227,487</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1"/>
        </w:trPr>
        <w:tc>
          <w:tcPr>
            <w:tcW w:w="4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00" w:type="dxa"/>
            <w:vAlign w:val="bottom"/>
          </w:tcPr>
          <w:p>
            <w:pPr>
              <w:spacing w:after="0"/>
              <w:rPr>
                <w:sz w:val="18"/>
                <w:szCs w:val="18"/>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Mutual funds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74,730,877</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74,730,877</w:t>
            </w:r>
          </w:p>
        </w:tc>
      </w:tr>
      <w:tr>
        <w:trPr>
          <w:trHeight w:val="213"/>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Company stock</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35,985,333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35,985,333</w:t>
            </w:r>
          </w:p>
        </w:tc>
      </w:tr>
      <w:tr>
        <w:trPr>
          <w:trHeight w:val="237"/>
        </w:trPr>
        <w:tc>
          <w:tcPr>
            <w:tcW w:w="48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assets at fair value</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110,716,210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110,716,210</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SCHEDULE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 RETIREMENT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EIN: 72-1192928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Plan #003</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H, Line 4i — Schedule of Assets (Held at End of Year)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0" w:type="dxa"/>
            <w:vAlign w:val="bottom"/>
            <w:tcBorders>
              <w:top w:val="single" w:sz="8" w:color="auto"/>
            </w:tcBorders>
            <w:gridSpan w:val="2"/>
          </w:tcPr>
          <w:p>
            <w:pPr>
              <w:jc w:val="center"/>
              <w:ind w:right="80"/>
              <w:spacing w:after="0" w:line="175" w:lineRule="exact"/>
              <w:rPr>
                <w:sz w:val="20"/>
                <w:szCs w:val="20"/>
                <w:color w:val="auto"/>
              </w:rPr>
            </w:pPr>
            <w:r>
              <w:rPr>
                <w:rFonts w:ascii="Times New Roman" w:cs="Times New Roman" w:eastAsia="Times New Roman" w:hAnsi="Times New Roman"/>
                <w:sz w:val="16"/>
                <w:szCs w:val="16"/>
                <w:color w:val="auto"/>
              </w:rPr>
              <w:t>(a)</w:t>
            </w:r>
          </w:p>
        </w:tc>
        <w:tc>
          <w:tcPr>
            <w:tcW w:w="3220" w:type="dxa"/>
            <w:vAlign w:val="bottom"/>
            <w:tcBorders>
              <w:top w:val="single" w:sz="8" w:color="auto"/>
            </w:tcBorders>
            <w:gridSpan w:val="2"/>
          </w:tcPr>
          <w:p>
            <w:pPr>
              <w:ind w:left="240"/>
              <w:spacing w:after="0" w:line="175" w:lineRule="exact"/>
              <w:rPr>
                <w:sz w:val="20"/>
                <w:szCs w:val="20"/>
                <w:color w:val="auto"/>
              </w:rPr>
            </w:pPr>
            <w:r>
              <w:rPr>
                <w:rFonts w:ascii="Times New Roman" w:cs="Times New Roman" w:eastAsia="Times New Roman" w:hAnsi="Times New Roman"/>
                <w:sz w:val="16"/>
                <w:szCs w:val="16"/>
                <w:color w:val="auto"/>
              </w:rPr>
              <w:t>(b) Identity of issuer, borrower, lessor, or</w:t>
            </w:r>
          </w:p>
        </w:tc>
        <w:tc>
          <w:tcPr>
            <w:tcW w:w="5000" w:type="dxa"/>
            <w:vAlign w:val="bottom"/>
            <w:tcBorders>
              <w:top w:val="single" w:sz="8" w:color="auto"/>
            </w:tcBorders>
            <w:gridSpan w:val="2"/>
          </w:tcPr>
          <w:p>
            <w:pPr>
              <w:ind w:left="180"/>
              <w:spacing w:after="0" w:line="175" w:lineRule="exact"/>
              <w:rPr>
                <w:sz w:val="20"/>
                <w:szCs w:val="20"/>
                <w:color w:val="auto"/>
              </w:rPr>
            </w:pPr>
            <w:r>
              <w:rPr>
                <w:rFonts w:ascii="Times New Roman" w:cs="Times New Roman" w:eastAsia="Times New Roman" w:hAnsi="Times New Roman"/>
                <w:sz w:val="16"/>
                <w:szCs w:val="16"/>
                <w:color w:val="auto"/>
              </w:rPr>
              <w:t>(c) Description of investment including maturity date, rate of interest,</w:t>
            </w:r>
          </w:p>
        </w:tc>
        <w:tc>
          <w:tcPr>
            <w:tcW w:w="1080" w:type="dxa"/>
            <w:vAlign w:val="bottom"/>
            <w:tcBorders>
              <w:top w:val="single" w:sz="8" w:color="auto"/>
            </w:tcBorders>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(d) Cost</w:t>
            </w: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79"/>
              <w:spacing w:after="0" w:line="175" w:lineRule="exact"/>
              <w:rPr>
                <w:sz w:val="20"/>
                <w:szCs w:val="20"/>
                <w:color w:val="auto"/>
              </w:rPr>
            </w:pPr>
            <w:r>
              <w:rPr>
                <w:rFonts w:ascii="Times New Roman" w:cs="Times New Roman" w:eastAsia="Times New Roman" w:hAnsi="Times New Roman"/>
                <w:sz w:val="16"/>
                <w:szCs w:val="16"/>
                <w:color w:val="auto"/>
              </w:rPr>
              <w:t>(e) Current value</w:t>
            </w:r>
          </w:p>
        </w:tc>
      </w:tr>
      <w:tr>
        <w:trPr>
          <w:trHeight w:val="213"/>
        </w:trPr>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6"/>
                <w:szCs w:val="16"/>
                <w:color w:val="auto"/>
              </w:rPr>
              <w:t>similar party</w:t>
            </w:r>
          </w:p>
        </w:tc>
        <w:tc>
          <w:tcPr>
            <w:tcW w:w="100" w:type="dxa"/>
            <w:vAlign w:val="bottom"/>
          </w:tcPr>
          <w:p>
            <w:pPr>
              <w:spacing w:after="0"/>
              <w:rPr>
                <w:sz w:val="18"/>
                <w:szCs w:val="18"/>
                <w:color w:val="auto"/>
              </w:rPr>
            </w:pPr>
          </w:p>
        </w:tc>
        <w:tc>
          <w:tcPr>
            <w:tcW w:w="488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6"/>
                <w:szCs w:val="16"/>
                <w:color w:val="auto"/>
              </w:rPr>
              <w:t>collateral, par, or maturity value</w:t>
            </w:r>
          </w:p>
        </w:tc>
        <w:tc>
          <w:tcPr>
            <w:tcW w:w="1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50"/>
        </w:trPr>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Mutual funds of registered investment companies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9"/>
        </w:trPr>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American Funds</w:t>
            </w:r>
          </w:p>
        </w:tc>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American Funds New World R6</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1,867,727</w:t>
            </w:r>
          </w:p>
        </w:tc>
      </w:tr>
      <w:tr>
        <w:trPr>
          <w:trHeight w:val="213"/>
        </w:trPr>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Dodge &amp; Cox</w:t>
            </w:r>
          </w:p>
        </w:tc>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Dodge &amp; Cox Income</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6,329,435</w:t>
            </w:r>
          </w:p>
        </w:tc>
      </w:tr>
      <w:tr>
        <w:trPr>
          <w:trHeight w:val="219"/>
        </w:trPr>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Dodge &amp; Cox</w:t>
            </w:r>
          </w:p>
        </w:tc>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Dodge &amp; Cox Stock</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6,899,988</w:t>
            </w:r>
          </w:p>
        </w:tc>
      </w:tr>
      <w:tr>
        <w:trPr>
          <w:trHeight w:val="213"/>
        </w:trPr>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Federated Securities Corporation</w:t>
            </w:r>
          </w:p>
        </w:tc>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Government Obligations Fund</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1,257,014</w:t>
            </w:r>
          </w:p>
        </w:tc>
      </w:tr>
      <w:tr>
        <w:trPr>
          <w:trHeight w:val="219"/>
        </w:trPr>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MFS Investment Management</w:t>
            </w:r>
          </w:p>
        </w:tc>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MFS Growth R6 Fund</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8,420,528</w:t>
            </w:r>
          </w:p>
        </w:tc>
      </w:tr>
      <w:tr>
        <w:trPr>
          <w:trHeight w:val="213"/>
        </w:trPr>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MFS Investment Management</w:t>
            </w:r>
          </w:p>
        </w:tc>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MFS INTL Diversification R6 FD</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2,148,366</w:t>
            </w:r>
          </w:p>
        </w:tc>
      </w:tr>
      <w:tr>
        <w:trPr>
          <w:trHeight w:val="219"/>
        </w:trPr>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MFS Investment Management</w:t>
            </w:r>
          </w:p>
        </w:tc>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MFS New Discovery R6</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109,866</w:t>
            </w:r>
          </w:p>
        </w:tc>
      </w:tr>
      <w:tr>
        <w:trPr>
          <w:trHeight w:val="213"/>
        </w:trPr>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TIAA Investments</w:t>
            </w:r>
          </w:p>
        </w:tc>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TIAA-CREF Lifestyle Aggressive Growth Institutional</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1,430,875</w:t>
            </w:r>
          </w:p>
        </w:tc>
      </w:tr>
      <w:tr>
        <w:trPr>
          <w:trHeight w:val="219"/>
        </w:trPr>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TIAA Investments</w:t>
            </w:r>
          </w:p>
        </w:tc>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TIAA-CREF Lifestyle Conservative Institutional</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14,160,403</w:t>
            </w:r>
          </w:p>
        </w:tc>
      </w:tr>
      <w:tr>
        <w:trPr>
          <w:trHeight w:val="213"/>
        </w:trPr>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TIAA Investments</w:t>
            </w:r>
          </w:p>
        </w:tc>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TIAA-CREF Lifestyle Growth Institutional</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2,169,748</w:t>
            </w:r>
          </w:p>
        </w:tc>
      </w:tr>
      <w:tr>
        <w:trPr>
          <w:trHeight w:val="219"/>
        </w:trPr>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TIAA Investments</w:t>
            </w:r>
          </w:p>
        </w:tc>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TIAA-CREF Lifestyle Income Institutional</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112,899</w:t>
            </w:r>
          </w:p>
        </w:tc>
      </w:tr>
      <w:tr>
        <w:trPr>
          <w:trHeight w:val="213"/>
        </w:trPr>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TIAA Investments</w:t>
            </w:r>
          </w:p>
        </w:tc>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TIAA-CREF Lifestyle Moderate Institutional</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2,997,856</w:t>
            </w:r>
          </w:p>
        </w:tc>
      </w:tr>
      <w:tr>
        <w:trPr>
          <w:trHeight w:val="219"/>
        </w:trPr>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PIMCO</w:t>
            </w:r>
          </w:p>
        </w:tc>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PIMCO Income Institutional</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2,539,706</w:t>
            </w:r>
          </w:p>
        </w:tc>
      </w:tr>
      <w:tr>
        <w:trPr>
          <w:trHeight w:val="213"/>
        </w:trPr>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 Rowe Price</w:t>
            </w:r>
          </w:p>
        </w:tc>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 Rowe Price Dividend Growth</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5,250,376</w:t>
            </w:r>
          </w:p>
        </w:tc>
      </w:tr>
      <w:tr>
        <w:trPr>
          <w:trHeight w:val="219"/>
        </w:trPr>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T.Rowe Price</w:t>
            </w:r>
          </w:p>
        </w:tc>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 Rowe Price MD-CP GR I FD</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198,307</w:t>
            </w:r>
          </w:p>
        </w:tc>
      </w:tr>
      <w:tr>
        <w:trPr>
          <w:trHeight w:val="213"/>
        </w:trPr>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Vanguard</w:t>
            </w:r>
          </w:p>
        </w:tc>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Vanguard International Growth Admiral</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2,499,752</w:t>
            </w:r>
          </w:p>
        </w:tc>
      </w:tr>
      <w:tr>
        <w:trPr>
          <w:trHeight w:val="219"/>
        </w:trPr>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Vanguard</w:t>
            </w:r>
          </w:p>
        </w:tc>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Vanguard Mid-cap Index Admiral</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4,973,977</w:t>
            </w:r>
          </w:p>
        </w:tc>
      </w:tr>
      <w:tr>
        <w:trPr>
          <w:trHeight w:val="213"/>
        </w:trPr>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Vanguard</w:t>
            </w:r>
          </w:p>
        </w:tc>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Vanguard Real Estate Index Admiral</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625,983</w:t>
            </w:r>
          </w:p>
        </w:tc>
      </w:tr>
      <w:tr>
        <w:trPr>
          <w:trHeight w:val="219"/>
        </w:trPr>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Vanguard</w:t>
            </w:r>
          </w:p>
        </w:tc>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Vanguard Short Term Federal Admiral</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2,996,832</w:t>
            </w:r>
          </w:p>
        </w:tc>
      </w:tr>
      <w:tr>
        <w:trPr>
          <w:trHeight w:val="213"/>
        </w:trPr>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Vanguard</w:t>
            </w:r>
          </w:p>
        </w:tc>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Vanguard Small-cap Index Admiral</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3,353,749</w:t>
            </w:r>
          </w:p>
        </w:tc>
      </w:tr>
      <w:tr>
        <w:trPr>
          <w:trHeight w:val="219"/>
        </w:trPr>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Vanguard</w:t>
            </w:r>
          </w:p>
        </w:tc>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Vanguard 500 Index Admiral</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15,255,541</w:t>
            </w:r>
          </w:p>
        </w:tc>
      </w:tr>
      <w:tr>
        <w:trPr>
          <w:trHeight w:val="213"/>
        </w:trPr>
        <w:tc>
          <w:tcPr>
            <w:tcW w:w="4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Vanguard</w:t>
            </w:r>
          </w:p>
        </w:tc>
        <w:tc>
          <w:tcPr>
            <w:tcW w:w="5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Vanguard Total International Stock Index Admiral</w:t>
            </w:r>
          </w:p>
        </w:tc>
        <w:tc>
          <w:tcPr>
            <w:tcW w:w="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1,657,507</w:t>
            </w:r>
          </w:p>
        </w:tc>
      </w:tr>
      <w:tr>
        <w:trPr>
          <w:trHeight w:val="212"/>
        </w:trPr>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Mutual Funds</w:t>
            </w:r>
          </w:p>
        </w:tc>
        <w:tc>
          <w:tcPr>
            <w:tcW w:w="4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87,256,435</w:t>
            </w:r>
          </w:p>
        </w:tc>
      </w:tr>
      <w:tr>
        <w:trPr>
          <w:trHeight w:val="213"/>
        </w:trPr>
        <w:tc>
          <w:tcPr>
            <w:tcW w:w="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Notes receivable from participants</w:t>
            </w:r>
          </w:p>
        </w:tc>
        <w:tc>
          <w:tcPr>
            <w:tcW w:w="5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0-12 years maturity; Interest from 4.25% to 9.50%</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1,852,266</w:t>
            </w:r>
          </w:p>
        </w:tc>
      </w:tr>
      <w:tr>
        <w:trPr>
          <w:trHeight w:val="216"/>
        </w:trPr>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Origin Bancorp, Inc. Common Stock</w:t>
            </w:r>
          </w:p>
        </w:tc>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1,009,600 shares of common stock; $5.00 par value per share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37,971,052</w:t>
            </w:r>
          </w:p>
        </w:tc>
      </w:tr>
      <w:tr>
        <w:trPr>
          <w:trHeight w:val="209"/>
        </w:trPr>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127,079,753</w:t>
            </w:r>
          </w:p>
        </w:tc>
      </w:tr>
      <w:tr>
        <w:trPr>
          <w:trHeight w:val="23"/>
        </w:trPr>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8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tab/>
        <w:t>Party-in-interest as defined by ERISA</w:t>
      </w:r>
    </w:p>
    <w:p>
      <w:pPr>
        <w:spacing w:after="0" w:line="23"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 omitted for participant-directed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3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4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Origin Bancorp, Inc. Employee Retirement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114300</wp:posOffset>
            </wp:positionV>
            <wp:extent cx="37719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69" w:lineRule="exact"/>
        <w:rPr>
          <w:sz w:val="20"/>
          <w:szCs w:val="20"/>
          <w:color w:val="auto"/>
        </w:rPr>
      </w:pPr>
    </w:p>
    <w:p>
      <w:pPr>
        <w:ind w:left="20"/>
        <w:spacing w:after="0"/>
        <w:tabs>
          <w:tab w:leader="none" w:pos="5000" w:val="left"/>
        </w:tabs>
        <w:rPr>
          <w:sz w:val="20"/>
          <w:szCs w:val="20"/>
          <w:color w:val="auto"/>
        </w:rPr>
      </w:pPr>
      <w:r>
        <w:rPr>
          <w:rFonts w:ascii="Times New Roman" w:cs="Times New Roman" w:eastAsia="Times New Roman" w:hAnsi="Times New Roman"/>
          <w:sz w:val="18"/>
          <w:szCs w:val="18"/>
          <w:color w:val="auto"/>
        </w:rPr>
        <w:t>Date: June 25, 2026</w:t>
      </w:r>
      <w:r>
        <w:rPr>
          <w:sz w:val="20"/>
          <w:szCs w:val="20"/>
          <w:color w:val="auto"/>
        </w:rPr>
        <w:tab/>
      </w:r>
      <w:r>
        <w:rPr>
          <w:rFonts w:ascii="Times New Roman" w:cs="Times New Roman" w:eastAsia="Times New Roman" w:hAnsi="Times New Roman"/>
          <w:sz w:val="17"/>
          <w:szCs w:val="17"/>
          <w:color w:val="auto"/>
        </w:rPr>
        <w:t>By: /s/ Stephen H. Brolly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719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Stephen H. Brolly, Member, Retirement Plan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111760</wp:posOffset>
            </wp:positionV>
            <wp:extent cx="37719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6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/s/ Ashlea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719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Ashlea Price, Member, Retirement Plan Committee</w:t>
      </w:r>
    </w:p>
    <w:p>
      <w:pPr>
        <w:spacing w:after="0" w:line="2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12" w:lineRule="exact"/>
        <w:rPr>
          <w:sz w:val="20"/>
          <w:szCs w:val="20"/>
          <w:color w:val="auto"/>
        </w:rPr>
      </w:pPr>
    </w:p>
    <w:p>
      <w:pPr>
        <w:ind w:left="480"/>
        <w:spacing w:after="0"/>
        <w:tabs>
          <w:tab w:leader="none" w:pos="6300" w:val="left"/>
        </w:tabs>
        <w:rPr>
          <w:sz w:val="20"/>
          <w:szCs w:val="20"/>
          <w:color w:val="auto"/>
        </w:rPr>
      </w:pPr>
      <w:r>
        <w:rPr>
          <w:rFonts w:ascii="Times New Roman" w:cs="Times New Roman" w:eastAsia="Times New Roman" w:hAnsi="Times New Roman"/>
          <w:sz w:val="18"/>
          <w:szCs w:val="18"/>
          <w:b w:val="1"/>
          <w:bCs w:val="1"/>
          <w:color w:val="auto"/>
        </w:rPr>
        <w:t>Exhibit 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151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9" w:lineRule="exact"/>
        <w:rPr>
          <w:sz w:val="20"/>
          <w:szCs w:val="20"/>
          <w:color w:val="auto"/>
        </w:rPr>
      </w:pPr>
    </w:p>
    <w:p>
      <w:pPr>
        <w:ind w:left="1840"/>
        <w:spacing w:after="0"/>
        <w:tabs>
          <w:tab w:leader="none" w:pos="232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40"/>
          </w:cols>
          <w:pgMar w:left="320" w:top="1440" w:right="5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on Form S-8 (No</w:t>
      </w:r>
      <w:r>
        <w:rPr>
          <w:rFonts w:ascii="Times New Roman" w:cs="Times New Roman" w:eastAsia="Times New Roman" w:hAnsi="Times New Roman"/>
          <w:sz w:val="18"/>
          <w:szCs w:val="18"/>
          <w:color w:val="DA291C"/>
        </w:rPr>
        <w:t>.</w:t>
      </w:r>
      <w:r>
        <w:rPr>
          <w:rFonts w:ascii="Times New Roman" w:cs="Times New Roman" w:eastAsia="Times New Roman" w:hAnsi="Times New Roman"/>
          <w:sz w:val="18"/>
          <w:szCs w:val="18"/>
          <w:color w:val="auto"/>
        </w:rPr>
        <w:t xml:space="preserve"> 333-226115) of our report dated June 25, 2026, with respect to the financial statements and supplemental information of Origin Bancorp, Inc. Employee Retirement Plan, included in this Annual Report on Form 11-K for the year ended December 31, 2025.</w:t>
      </w: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 Forvis Mazars, LLP</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Rogers, Arkansas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25, 2026</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2026-06-25T11:36:04Z</dcterms:created>
  <dcterms:modified xsi:type="dcterms:W3CDTF">2026-06-25T11:36:04Z</dcterms:modified>
</cp:coreProperties>
</file>